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94" w:rsidRPr="00737F7F" w:rsidRDefault="00D41894" w:rsidP="00D41894">
      <w:pPr>
        <w:rPr>
          <w:rFonts w:asciiTheme="majorHAnsi" w:hAnsiTheme="majorHAnsi"/>
          <w:sz w:val="24"/>
          <w:szCs w:val="24"/>
          <w:lang w:val="pt-PT"/>
        </w:rPr>
      </w:pPr>
      <w:proofErr w:type="spellStart"/>
      <w:proofErr w:type="gramStart"/>
      <w:r w:rsidRPr="00737F7F">
        <w:rPr>
          <w:rFonts w:asciiTheme="majorHAnsi" w:hAnsiTheme="majorHAnsi"/>
          <w:b/>
          <w:i/>
          <w:sz w:val="24"/>
          <w:szCs w:val="24"/>
          <w:lang w:val="pt-PT"/>
        </w:rPr>
        <w:t>ex</w:t>
      </w:r>
      <w:proofErr w:type="spellEnd"/>
      <w:proofErr w:type="gramEnd"/>
      <w:r w:rsidRPr="00737F7F">
        <w:rPr>
          <w:rFonts w:asciiTheme="majorHAnsi" w:hAnsiTheme="majorHAnsi"/>
          <w:b/>
          <w:i/>
          <w:sz w:val="24"/>
          <w:szCs w:val="24"/>
          <w:lang w:val="pt-PT"/>
        </w:rPr>
        <w:t xml:space="preserve"> </w:t>
      </w:r>
      <w:proofErr w:type="spellStart"/>
      <w:r w:rsidRPr="00737F7F">
        <w:rPr>
          <w:rFonts w:asciiTheme="majorHAnsi" w:hAnsiTheme="majorHAnsi"/>
          <w:b/>
          <w:i/>
          <w:sz w:val="24"/>
          <w:szCs w:val="24"/>
          <w:lang w:val="pt-PT"/>
        </w:rPr>
        <w:t>æquo</w:t>
      </w:r>
      <w:proofErr w:type="spellEnd"/>
      <w:r w:rsidRPr="00737F7F">
        <w:rPr>
          <w:rFonts w:asciiTheme="majorHAnsi" w:hAnsiTheme="majorHAnsi"/>
          <w:i/>
          <w:sz w:val="24"/>
          <w:szCs w:val="24"/>
          <w:lang w:val="pt-PT"/>
        </w:rPr>
        <w:t xml:space="preserve"> </w:t>
      </w:r>
    </w:p>
    <w:p w:rsidR="00D41894" w:rsidRPr="00342E17" w:rsidRDefault="00342E17" w:rsidP="00D41894">
      <w:pPr>
        <w:rPr>
          <w:rFonts w:asciiTheme="majorHAnsi" w:hAnsiTheme="majorHAnsi" w:cs="Times New Roman"/>
          <w:color w:val="595959" w:themeColor="text1" w:themeTint="A6"/>
          <w:spacing w:val="-15"/>
          <w:sz w:val="20"/>
          <w:szCs w:val="20"/>
          <w:lang w:val="pt-PT"/>
        </w:rPr>
      </w:pPr>
      <w:proofErr w:type="spellStart"/>
      <w:proofErr w:type="gramStart"/>
      <w:r w:rsidRPr="00342E17">
        <w:rPr>
          <w:rFonts w:asciiTheme="majorHAnsi" w:hAnsiTheme="majorHAnsi" w:cs="Times New Roman"/>
          <w:color w:val="595959" w:themeColor="text1" w:themeTint="A6"/>
          <w:spacing w:val="-15"/>
          <w:sz w:val="20"/>
          <w:szCs w:val="20"/>
          <w:lang w:val="pt-PT"/>
        </w:rPr>
        <w:t>es</w:t>
      </w:r>
      <w:proofErr w:type="spellEnd"/>
      <w:proofErr w:type="gramEnd"/>
      <w:r w:rsidRPr="00342E17">
        <w:rPr>
          <w:rFonts w:asciiTheme="majorHAnsi" w:hAnsiTheme="majorHAnsi" w:cs="Times New Roman"/>
          <w:color w:val="595959" w:themeColor="text1" w:themeTint="A6"/>
          <w:spacing w:val="-15"/>
          <w:sz w:val="20"/>
          <w:szCs w:val="20"/>
          <w:lang w:val="pt-PT"/>
        </w:rPr>
        <w:t xml:space="preserve"> una revista internacional publicada semestralmente, editad</w:t>
      </w:r>
      <w:r>
        <w:rPr>
          <w:rFonts w:asciiTheme="majorHAnsi" w:hAnsiTheme="majorHAnsi" w:cs="Times New Roman"/>
          <w:color w:val="595959" w:themeColor="text1" w:themeTint="A6"/>
          <w:spacing w:val="-15"/>
          <w:sz w:val="20"/>
          <w:szCs w:val="20"/>
          <w:lang w:val="pt-PT"/>
        </w:rPr>
        <w:t>a</w:t>
      </w:r>
      <w:r w:rsidRPr="00342E17">
        <w:rPr>
          <w:rFonts w:asciiTheme="majorHAnsi" w:hAnsiTheme="majorHAnsi" w:cs="Times New Roman"/>
          <w:color w:val="595959" w:themeColor="text1" w:themeTint="A6"/>
          <w:spacing w:val="-15"/>
          <w:sz w:val="20"/>
          <w:szCs w:val="20"/>
          <w:lang w:val="pt-PT"/>
        </w:rPr>
        <w:t xml:space="preserve"> por la </w:t>
      </w:r>
      <w:proofErr w:type="spellStart"/>
      <w:r w:rsidRPr="00342E17">
        <w:rPr>
          <w:rFonts w:asciiTheme="majorHAnsi" w:hAnsiTheme="majorHAnsi" w:cs="Times New Roman"/>
          <w:color w:val="595959" w:themeColor="text1" w:themeTint="A6"/>
          <w:spacing w:val="-15"/>
          <w:sz w:val="20"/>
          <w:szCs w:val="20"/>
          <w:lang w:val="pt-PT"/>
        </w:rPr>
        <w:t>Asociación</w:t>
      </w:r>
      <w:proofErr w:type="spellEnd"/>
      <w:r w:rsidRPr="00342E17">
        <w:rPr>
          <w:rFonts w:asciiTheme="majorHAnsi" w:hAnsiTheme="majorHAnsi" w:cs="Times New Roman"/>
          <w:color w:val="595959" w:themeColor="text1" w:themeTint="A6"/>
          <w:spacing w:val="-15"/>
          <w:sz w:val="20"/>
          <w:szCs w:val="20"/>
          <w:lang w:val="pt-PT"/>
        </w:rPr>
        <w:t xml:space="preserve"> Portuguesa de </w:t>
      </w:r>
      <w:proofErr w:type="spellStart"/>
      <w:r>
        <w:rPr>
          <w:rFonts w:asciiTheme="majorHAnsi" w:hAnsiTheme="majorHAnsi" w:cs="Times New Roman"/>
          <w:color w:val="595959" w:themeColor="text1" w:themeTint="A6"/>
          <w:spacing w:val="-15"/>
          <w:sz w:val="20"/>
          <w:szCs w:val="20"/>
          <w:lang w:val="pt-PT"/>
        </w:rPr>
        <w:t>E</w:t>
      </w:r>
      <w:r w:rsidRPr="00342E17">
        <w:rPr>
          <w:rFonts w:asciiTheme="majorHAnsi" w:hAnsiTheme="majorHAnsi" w:cs="Times New Roman"/>
          <w:color w:val="595959" w:themeColor="text1" w:themeTint="A6"/>
          <w:spacing w:val="-15"/>
          <w:sz w:val="20"/>
          <w:szCs w:val="20"/>
          <w:lang w:val="pt-PT"/>
        </w:rPr>
        <w:t>studios</w:t>
      </w:r>
      <w:proofErr w:type="spellEnd"/>
      <w:r w:rsidRPr="00342E17">
        <w:rPr>
          <w:rFonts w:asciiTheme="majorHAnsi" w:hAnsiTheme="majorHAnsi" w:cs="Times New Roman"/>
          <w:color w:val="595959" w:themeColor="text1" w:themeTint="A6"/>
          <w:spacing w:val="-15"/>
          <w:sz w:val="20"/>
          <w:szCs w:val="20"/>
          <w:lang w:val="pt-PT"/>
        </w:rPr>
        <w:t xml:space="preserve"> de la</w:t>
      </w:r>
      <w:r>
        <w:rPr>
          <w:rFonts w:asciiTheme="majorHAnsi" w:hAnsiTheme="majorHAnsi" w:cs="Times New Roman"/>
          <w:color w:val="595959" w:themeColor="text1" w:themeTint="A6"/>
          <w:spacing w:val="-15"/>
          <w:sz w:val="20"/>
          <w:szCs w:val="20"/>
          <w:lang w:val="pt-PT"/>
        </w:rPr>
        <w:t>s</w:t>
      </w:r>
      <w:r w:rsidRPr="00342E17">
        <w:rPr>
          <w:rFonts w:asciiTheme="majorHAnsi" w:hAnsiTheme="majorHAnsi" w:cs="Times New Roman"/>
          <w:color w:val="595959" w:themeColor="text1" w:themeTint="A6"/>
          <w:spacing w:val="-15"/>
          <w:sz w:val="20"/>
          <w:szCs w:val="20"/>
          <w:lang w:val="pt-PT"/>
        </w:rPr>
        <w:t xml:space="preserve"> </w:t>
      </w:r>
      <w:proofErr w:type="spellStart"/>
      <w:r>
        <w:rPr>
          <w:rFonts w:asciiTheme="majorHAnsi" w:hAnsiTheme="majorHAnsi" w:cs="Times New Roman"/>
          <w:color w:val="595959" w:themeColor="text1" w:themeTint="A6"/>
          <w:spacing w:val="-15"/>
          <w:sz w:val="20"/>
          <w:szCs w:val="20"/>
          <w:lang w:val="pt-PT"/>
        </w:rPr>
        <w:t>M</w:t>
      </w:r>
      <w:r w:rsidRPr="00342E17">
        <w:rPr>
          <w:rFonts w:asciiTheme="majorHAnsi" w:hAnsiTheme="majorHAnsi" w:cs="Times New Roman"/>
          <w:color w:val="595959" w:themeColor="text1" w:themeTint="A6"/>
          <w:spacing w:val="-15"/>
          <w:sz w:val="20"/>
          <w:szCs w:val="20"/>
          <w:lang w:val="pt-PT"/>
        </w:rPr>
        <w:t>ujer</w:t>
      </w:r>
      <w:r>
        <w:rPr>
          <w:rFonts w:asciiTheme="majorHAnsi" w:hAnsiTheme="majorHAnsi" w:cs="Times New Roman"/>
          <w:color w:val="595959" w:themeColor="text1" w:themeTint="A6"/>
          <w:spacing w:val="-15"/>
          <w:sz w:val="20"/>
          <w:szCs w:val="20"/>
          <w:lang w:val="pt-PT"/>
        </w:rPr>
        <w:t>es</w:t>
      </w:r>
      <w:proofErr w:type="spellEnd"/>
      <w:r w:rsidRPr="00342E17">
        <w:rPr>
          <w:rFonts w:asciiTheme="majorHAnsi" w:hAnsiTheme="majorHAnsi" w:cs="Times New Roman"/>
          <w:color w:val="595959" w:themeColor="text1" w:themeTint="A6"/>
          <w:spacing w:val="-15"/>
          <w:sz w:val="20"/>
          <w:szCs w:val="20"/>
          <w:lang w:val="pt-PT"/>
        </w:rPr>
        <w:t xml:space="preserve"> – </w:t>
      </w:r>
      <w:r>
        <w:rPr>
          <w:rFonts w:asciiTheme="majorHAnsi" w:hAnsiTheme="majorHAnsi" w:cs="Times New Roman"/>
          <w:color w:val="595959" w:themeColor="text1" w:themeTint="A6"/>
          <w:spacing w:val="-15"/>
          <w:sz w:val="20"/>
          <w:szCs w:val="20"/>
          <w:lang w:val="pt-PT"/>
        </w:rPr>
        <w:t>APEM</w:t>
      </w:r>
      <w:r w:rsidRPr="00342E17">
        <w:rPr>
          <w:rFonts w:asciiTheme="majorHAnsi" w:hAnsiTheme="majorHAnsi" w:cs="Times New Roman"/>
          <w:color w:val="595959" w:themeColor="text1" w:themeTint="A6"/>
          <w:spacing w:val="-15"/>
          <w:sz w:val="20"/>
          <w:szCs w:val="20"/>
          <w:lang w:val="pt-PT"/>
        </w:rPr>
        <w:t xml:space="preserve">, </w:t>
      </w:r>
      <w:proofErr w:type="spellStart"/>
      <w:r w:rsidRPr="00342E17">
        <w:rPr>
          <w:rFonts w:asciiTheme="majorHAnsi" w:hAnsiTheme="majorHAnsi" w:cs="Times New Roman"/>
          <w:color w:val="595959" w:themeColor="text1" w:themeTint="A6"/>
          <w:spacing w:val="-15"/>
          <w:sz w:val="20"/>
          <w:szCs w:val="20"/>
          <w:lang w:val="pt-PT"/>
        </w:rPr>
        <w:t>en</w:t>
      </w:r>
      <w:proofErr w:type="spellEnd"/>
      <w:r w:rsidRPr="00342E17">
        <w:rPr>
          <w:rFonts w:asciiTheme="majorHAnsi" w:hAnsiTheme="majorHAnsi" w:cs="Times New Roman"/>
          <w:color w:val="595959" w:themeColor="text1" w:themeTint="A6"/>
          <w:spacing w:val="-15"/>
          <w:sz w:val="20"/>
          <w:szCs w:val="20"/>
          <w:lang w:val="pt-PT"/>
        </w:rPr>
        <w:t xml:space="preserve"> </w:t>
      </w:r>
      <w:proofErr w:type="spellStart"/>
      <w:r w:rsidRPr="00342E17">
        <w:rPr>
          <w:rFonts w:asciiTheme="majorHAnsi" w:hAnsiTheme="majorHAnsi" w:cs="Times New Roman"/>
          <w:color w:val="595959" w:themeColor="text1" w:themeTint="A6"/>
          <w:spacing w:val="-15"/>
          <w:sz w:val="20"/>
          <w:szCs w:val="20"/>
          <w:lang w:val="pt-PT"/>
        </w:rPr>
        <w:t>colaboración</w:t>
      </w:r>
      <w:proofErr w:type="spellEnd"/>
      <w:r w:rsidRPr="00342E17">
        <w:rPr>
          <w:rFonts w:asciiTheme="majorHAnsi" w:hAnsiTheme="majorHAnsi" w:cs="Times New Roman"/>
          <w:color w:val="595959" w:themeColor="text1" w:themeTint="A6"/>
          <w:spacing w:val="-15"/>
          <w:sz w:val="20"/>
          <w:szCs w:val="20"/>
          <w:lang w:val="pt-PT"/>
        </w:rPr>
        <w:t xml:space="preserve"> </w:t>
      </w:r>
      <w:proofErr w:type="spellStart"/>
      <w:r w:rsidRPr="00342E17">
        <w:rPr>
          <w:rFonts w:asciiTheme="majorHAnsi" w:hAnsiTheme="majorHAnsi" w:cs="Times New Roman"/>
          <w:color w:val="595959" w:themeColor="text1" w:themeTint="A6"/>
          <w:spacing w:val="-15"/>
          <w:sz w:val="20"/>
          <w:szCs w:val="20"/>
          <w:lang w:val="pt-PT"/>
        </w:rPr>
        <w:t>con</w:t>
      </w:r>
      <w:proofErr w:type="spellEnd"/>
      <w:r w:rsidRPr="00342E17">
        <w:rPr>
          <w:rFonts w:asciiTheme="majorHAnsi" w:hAnsiTheme="majorHAnsi" w:cs="Times New Roman"/>
          <w:color w:val="595959" w:themeColor="text1" w:themeTint="A6"/>
          <w:spacing w:val="-15"/>
          <w:sz w:val="20"/>
          <w:szCs w:val="20"/>
          <w:lang w:val="pt-PT"/>
        </w:rPr>
        <w:t xml:space="preserve"> </w:t>
      </w:r>
      <w:proofErr w:type="spellStart"/>
      <w:r w:rsidRPr="00342E17">
        <w:rPr>
          <w:rFonts w:asciiTheme="majorHAnsi" w:hAnsiTheme="majorHAnsi" w:cs="Times New Roman"/>
          <w:color w:val="595959" w:themeColor="text1" w:themeTint="A6"/>
          <w:spacing w:val="-15"/>
          <w:sz w:val="20"/>
          <w:szCs w:val="20"/>
          <w:lang w:val="pt-PT"/>
        </w:rPr>
        <w:t>ediciones</w:t>
      </w:r>
      <w:proofErr w:type="spellEnd"/>
      <w:r w:rsidRPr="00342E17">
        <w:rPr>
          <w:rFonts w:asciiTheme="majorHAnsi" w:hAnsiTheme="majorHAnsi" w:cs="Times New Roman"/>
          <w:color w:val="595959" w:themeColor="text1" w:themeTint="A6"/>
          <w:spacing w:val="-15"/>
          <w:sz w:val="20"/>
          <w:szCs w:val="20"/>
          <w:lang w:val="pt-PT"/>
        </w:rPr>
        <w:t xml:space="preserve"> Afrontamento</w:t>
      </w:r>
      <w:r>
        <w:rPr>
          <w:rFonts w:asciiTheme="majorHAnsi" w:hAnsiTheme="majorHAnsi" w:cs="Times New Roman"/>
          <w:color w:val="595959" w:themeColor="text1" w:themeTint="A6"/>
          <w:spacing w:val="-15"/>
          <w:sz w:val="20"/>
          <w:szCs w:val="20"/>
          <w:lang w:val="pt-PT"/>
        </w:rPr>
        <w:t>.</w:t>
      </w:r>
      <w:r w:rsidR="00D41894">
        <w:rPr>
          <w:rFonts w:ascii="Cambria" w:hAnsi="Cambria"/>
          <w:i/>
          <w:noProof/>
          <w:color w:val="595959" w:themeColor="text1" w:themeTint="A6"/>
          <w:sz w:val="20"/>
          <w:szCs w:val="20"/>
          <w:lang w:val="en-US"/>
        </w:rPr>
        <w:drawing>
          <wp:anchor distT="0" distB="0" distL="114300" distR="114300" simplePos="0" relativeHeight="251659264" behindDoc="0" locked="0" layoutInCell="1" allowOverlap="1" wp14:anchorId="165A725F" wp14:editId="26E25977">
            <wp:simplePos x="0" y="0"/>
            <wp:positionH relativeFrom="margin">
              <wp:align>right</wp:align>
            </wp:positionH>
            <wp:positionV relativeFrom="margin">
              <wp:posOffset>371475</wp:posOffset>
            </wp:positionV>
            <wp:extent cx="2798445" cy="2762250"/>
            <wp:effectExtent l="0" t="0" r="190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894" w:rsidRPr="00A00A90">
        <w:rPr>
          <w:rFonts w:asciiTheme="majorHAnsi" w:hAnsiTheme="majorHAnsi" w:cs="Times New Roman"/>
          <w:color w:val="595959" w:themeColor="text1" w:themeTint="A6"/>
          <w:spacing w:val="-15"/>
          <w:sz w:val="20"/>
          <w:szCs w:val="20"/>
          <w:lang w:val="pt-PT"/>
        </w:rPr>
        <w:t xml:space="preserve"> </w:t>
      </w:r>
      <w:r w:rsidR="00D41894" w:rsidRPr="00A00A90">
        <w:rPr>
          <w:rFonts w:asciiTheme="majorHAnsi" w:hAnsiTheme="majorHAnsi" w:cs="Times New Roman"/>
          <w:color w:val="595959" w:themeColor="text1" w:themeTint="A6"/>
          <w:sz w:val="20"/>
          <w:szCs w:val="20"/>
          <w:lang w:val="pt-PT"/>
        </w:rPr>
        <w:t>(http://www.apem-estudos.org/pt/page/apresentacao-da-revista)</w:t>
      </w:r>
    </w:p>
    <w:p w:rsidR="00342E17" w:rsidRDefault="00342E17" w:rsidP="00D41894">
      <w:pPr>
        <w:rPr>
          <w:rFonts w:asciiTheme="majorHAnsi" w:hAnsiTheme="majorHAnsi"/>
          <w:color w:val="595959" w:themeColor="text1" w:themeTint="A6"/>
          <w:spacing w:val="-15"/>
          <w:sz w:val="20"/>
          <w:szCs w:val="20"/>
          <w:lang w:val="pt-PT"/>
        </w:rPr>
      </w:pPr>
      <w:proofErr w:type="spellStart"/>
      <w:proofErr w:type="gramStart"/>
      <w:r w:rsidRPr="00342E17">
        <w:rPr>
          <w:rFonts w:asciiTheme="majorHAnsi" w:hAnsiTheme="majorHAnsi"/>
          <w:b/>
          <w:i/>
          <w:sz w:val="20"/>
          <w:szCs w:val="24"/>
          <w:lang w:val="pt-PT"/>
        </w:rPr>
        <w:t>ex</w:t>
      </w:r>
      <w:proofErr w:type="spellEnd"/>
      <w:proofErr w:type="gramEnd"/>
      <w:r w:rsidRPr="00342E17">
        <w:rPr>
          <w:rFonts w:asciiTheme="majorHAnsi" w:hAnsiTheme="majorHAnsi"/>
          <w:b/>
          <w:i/>
          <w:sz w:val="20"/>
          <w:szCs w:val="24"/>
          <w:lang w:val="pt-PT"/>
        </w:rPr>
        <w:t xml:space="preserve"> </w:t>
      </w:r>
      <w:proofErr w:type="spellStart"/>
      <w:r w:rsidRPr="00342E17">
        <w:rPr>
          <w:rFonts w:asciiTheme="majorHAnsi" w:hAnsiTheme="majorHAnsi"/>
          <w:b/>
          <w:i/>
          <w:sz w:val="20"/>
          <w:szCs w:val="24"/>
          <w:lang w:val="pt-PT"/>
        </w:rPr>
        <w:t>æquo</w:t>
      </w:r>
      <w:proofErr w:type="spellEnd"/>
      <w:r w:rsidRPr="00342E17">
        <w:rPr>
          <w:rFonts w:asciiTheme="majorHAnsi" w:hAnsiTheme="majorHAnsi"/>
          <w:color w:val="595959" w:themeColor="text1" w:themeTint="A6"/>
          <w:spacing w:val="-15"/>
          <w:sz w:val="16"/>
          <w:szCs w:val="20"/>
          <w:lang w:val="pt-PT"/>
        </w:rPr>
        <w:t xml:space="preserve"> </w:t>
      </w:r>
      <w:r>
        <w:rPr>
          <w:rFonts w:asciiTheme="majorHAnsi" w:hAnsiTheme="majorHAnsi"/>
          <w:color w:val="595959" w:themeColor="text1" w:themeTint="A6"/>
          <w:spacing w:val="-15"/>
          <w:sz w:val="20"/>
          <w:szCs w:val="20"/>
          <w:lang w:val="pt-PT"/>
        </w:rPr>
        <w:t>intenta</w:t>
      </w:r>
      <w:r w:rsidRPr="00342E17">
        <w:rPr>
          <w:rFonts w:asciiTheme="majorHAnsi" w:hAnsiTheme="majorHAnsi"/>
          <w:color w:val="595959" w:themeColor="text1" w:themeTint="A6"/>
          <w:spacing w:val="-15"/>
          <w:sz w:val="20"/>
          <w:szCs w:val="20"/>
          <w:lang w:val="pt-PT"/>
        </w:rPr>
        <w:t xml:space="preserve"> una </w:t>
      </w:r>
      <w:proofErr w:type="spellStart"/>
      <w:r w:rsidRPr="00342E17">
        <w:rPr>
          <w:rFonts w:asciiTheme="majorHAnsi" w:hAnsiTheme="majorHAnsi"/>
          <w:color w:val="595959" w:themeColor="text1" w:themeTint="A6"/>
          <w:spacing w:val="-15"/>
          <w:sz w:val="20"/>
          <w:szCs w:val="20"/>
          <w:lang w:val="pt-PT"/>
        </w:rPr>
        <w:t>audiencia</w:t>
      </w:r>
      <w:proofErr w:type="spellEnd"/>
      <w:r w:rsidRPr="00342E17">
        <w:rPr>
          <w:rFonts w:asciiTheme="majorHAnsi" w:hAnsiTheme="majorHAnsi"/>
          <w:color w:val="595959" w:themeColor="text1" w:themeTint="A6"/>
          <w:spacing w:val="-15"/>
          <w:sz w:val="20"/>
          <w:szCs w:val="20"/>
          <w:lang w:val="pt-PT"/>
        </w:rPr>
        <w:t xml:space="preserve"> internacional, </w:t>
      </w:r>
      <w:proofErr w:type="spellStart"/>
      <w:r w:rsidRPr="00342E17">
        <w:rPr>
          <w:rFonts w:asciiTheme="majorHAnsi" w:hAnsiTheme="majorHAnsi"/>
          <w:color w:val="595959" w:themeColor="text1" w:themeTint="A6"/>
          <w:spacing w:val="-15"/>
          <w:sz w:val="20"/>
          <w:szCs w:val="20"/>
          <w:lang w:val="pt-PT"/>
        </w:rPr>
        <w:t>aceptando</w:t>
      </w:r>
      <w:proofErr w:type="spellEnd"/>
      <w:r w:rsidRPr="00342E17">
        <w:rPr>
          <w:rFonts w:asciiTheme="majorHAnsi" w:hAnsiTheme="majorHAnsi"/>
          <w:color w:val="595959" w:themeColor="text1" w:themeTint="A6"/>
          <w:spacing w:val="-15"/>
          <w:sz w:val="20"/>
          <w:szCs w:val="20"/>
          <w:lang w:val="pt-PT"/>
        </w:rPr>
        <w:t xml:space="preserve"> manuscritos </w:t>
      </w:r>
      <w:proofErr w:type="spellStart"/>
      <w:r w:rsidRPr="00342E17">
        <w:rPr>
          <w:rFonts w:asciiTheme="majorHAnsi" w:hAnsiTheme="majorHAnsi"/>
          <w:color w:val="595959" w:themeColor="text1" w:themeTint="A6"/>
          <w:spacing w:val="-15"/>
          <w:sz w:val="20"/>
          <w:szCs w:val="20"/>
          <w:lang w:val="pt-PT"/>
        </w:rPr>
        <w:t>en</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Portugués</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Inglés</w:t>
      </w:r>
      <w:proofErr w:type="spellEnd"/>
      <w:r w:rsidRPr="00342E17">
        <w:rPr>
          <w:rFonts w:asciiTheme="majorHAnsi" w:hAnsiTheme="majorHAnsi"/>
          <w:color w:val="595959" w:themeColor="text1" w:themeTint="A6"/>
          <w:spacing w:val="-15"/>
          <w:sz w:val="20"/>
          <w:szCs w:val="20"/>
          <w:lang w:val="pt-PT"/>
        </w:rPr>
        <w:t xml:space="preserve">, </w:t>
      </w:r>
      <w:proofErr w:type="spellStart"/>
      <w:r>
        <w:rPr>
          <w:rFonts w:asciiTheme="majorHAnsi" w:hAnsiTheme="majorHAnsi"/>
          <w:color w:val="595959" w:themeColor="text1" w:themeTint="A6"/>
          <w:spacing w:val="-15"/>
          <w:sz w:val="20"/>
          <w:szCs w:val="20"/>
          <w:lang w:val="pt-PT"/>
        </w:rPr>
        <w:t>F</w:t>
      </w:r>
      <w:r w:rsidRPr="00342E17">
        <w:rPr>
          <w:rFonts w:asciiTheme="majorHAnsi" w:hAnsiTheme="majorHAnsi"/>
          <w:color w:val="595959" w:themeColor="text1" w:themeTint="A6"/>
          <w:spacing w:val="-15"/>
          <w:sz w:val="20"/>
          <w:szCs w:val="20"/>
          <w:lang w:val="pt-PT"/>
        </w:rPr>
        <w:t>rancés</w:t>
      </w:r>
      <w:proofErr w:type="spellEnd"/>
      <w:r w:rsidRPr="00342E17">
        <w:rPr>
          <w:rFonts w:asciiTheme="majorHAnsi" w:hAnsiTheme="majorHAnsi"/>
          <w:color w:val="595959" w:themeColor="text1" w:themeTint="A6"/>
          <w:spacing w:val="-15"/>
          <w:sz w:val="20"/>
          <w:szCs w:val="20"/>
          <w:lang w:val="pt-PT"/>
        </w:rPr>
        <w:t xml:space="preserve"> y </w:t>
      </w:r>
      <w:proofErr w:type="spellStart"/>
      <w:r>
        <w:rPr>
          <w:rFonts w:asciiTheme="majorHAnsi" w:hAnsiTheme="majorHAnsi"/>
          <w:color w:val="595959" w:themeColor="text1" w:themeTint="A6"/>
          <w:spacing w:val="-15"/>
          <w:sz w:val="20"/>
          <w:szCs w:val="20"/>
          <w:lang w:val="pt-PT"/>
        </w:rPr>
        <w:t>E</w:t>
      </w:r>
      <w:r w:rsidRPr="00342E17">
        <w:rPr>
          <w:rFonts w:asciiTheme="majorHAnsi" w:hAnsiTheme="majorHAnsi"/>
          <w:color w:val="595959" w:themeColor="text1" w:themeTint="A6"/>
          <w:spacing w:val="-15"/>
          <w:sz w:val="20"/>
          <w:szCs w:val="20"/>
          <w:lang w:val="pt-PT"/>
        </w:rPr>
        <w:t>spañol</w:t>
      </w:r>
      <w:proofErr w:type="spellEnd"/>
      <w:r w:rsidRPr="00342E17">
        <w:rPr>
          <w:rFonts w:asciiTheme="majorHAnsi" w:hAnsiTheme="majorHAnsi"/>
          <w:color w:val="595959" w:themeColor="text1" w:themeTint="A6"/>
          <w:spacing w:val="-15"/>
          <w:sz w:val="20"/>
          <w:szCs w:val="20"/>
          <w:lang w:val="pt-PT"/>
        </w:rPr>
        <w:t xml:space="preserve">, de </w:t>
      </w:r>
      <w:proofErr w:type="spellStart"/>
      <w:r w:rsidRPr="00342E17">
        <w:rPr>
          <w:rFonts w:asciiTheme="majorHAnsi" w:hAnsiTheme="majorHAnsi"/>
          <w:color w:val="595959" w:themeColor="text1" w:themeTint="A6"/>
          <w:spacing w:val="-15"/>
          <w:sz w:val="20"/>
          <w:szCs w:val="20"/>
          <w:lang w:val="pt-PT"/>
        </w:rPr>
        <w:t>varios</w:t>
      </w:r>
      <w:proofErr w:type="spellEnd"/>
      <w:r w:rsidRPr="00342E17">
        <w:rPr>
          <w:rFonts w:asciiTheme="majorHAnsi" w:hAnsiTheme="majorHAnsi"/>
          <w:color w:val="595959" w:themeColor="text1" w:themeTint="A6"/>
          <w:spacing w:val="-15"/>
          <w:sz w:val="20"/>
          <w:szCs w:val="20"/>
          <w:lang w:val="pt-PT"/>
        </w:rPr>
        <w:t xml:space="preserve"> países. Pretende </w:t>
      </w:r>
      <w:proofErr w:type="spellStart"/>
      <w:r w:rsidRPr="00342E17">
        <w:rPr>
          <w:rFonts w:asciiTheme="majorHAnsi" w:hAnsiTheme="majorHAnsi"/>
          <w:color w:val="595959" w:themeColor="text1" w:themeTint="A6"/>
          <w:spacing w:val="-15"/>
          <w:sz w:val="20"/>
          <w:szCs w:val="20"/>
          <w:lang w:val="pt-PT"/>
        </w:rPr>
        <w:t>garantizar</w:t>
      </w:r>
      <w:proofErr w:type="spellEnd"/>
      <w:r w:rsidRPr="00342E17">
        <w:rPr>
          <w:rFonts w:asciiTheme="majorHAnsi" w:hAnsiTheme="majorHAnsi"/>
          <w:color w:val="595959" w:themeColor="text1" w:themeTint="A6"/>
          <w:spacing w:val="-15"/>
          <w:sz w:val="20"/>
          <w:szCs w:val="20"/>
          <w:lang w:val="pt-PT"/>
        </w:rPr>
        <w:t xml:space="preserve"> la </w:t>
      </w:r>
      <w:proofErr w:type="spellStart"/>
      <w:r w:rsidRPr="00342E17">
        <w:rPr>
          <w:rFonts w:asciiTheme="majorHAnsi" w:hAnsiTheme="majorHAnsi"/>
          <w:color w:val="595959" w:themeColor="text1" w:themeTint="A6"/>
          <w:spacing w:val="-15"/>
          <w:sz w:val="20"/>
          <w:szCs w:val="20"/>
          <w:lang w:val="pt-PT"/>
        </w:rPr>
        <w:t>publicación</w:t>
      </w:r>
      <w:proofErr w:type="spellEnd"/>
      <w:r w:rsidRPr="00342E17">
        <w:rPr>
          <w:rFonts w:asciiTheme="majorHAnsi" w:hAnsiTheme="majorHAnsi"/>
          <w:color w:val="595959" w:themeColor="text1" w:themeTint="A6"/>
          <w:spacing w:val="-15"/>
          <w:sz w:val="20"/>
          <w:szCs w:val="20"/>
          <w:lang w:val="pt-PT"/>
        </w:rPr>
        <w:t xml:space="preserve"> de </w:t>
      </w:r>
      <w:r>
        <w:rPr>
          <w:rFonts w:asciiTheme="majorHAnsi" w:hAnsiTheme="majorHAnsi"/>
          <w:color w:val="595959" w:themeColor="text1" w:themeTint="A6"/>
          <w:spacing w:val="-15"/>
          <w:sz w:val="20"/>
          <w:szCs w:val="20"/>
          <w:lang w:val="pt-PT"/>
        </w:rPr>
        <w:t>artículos</w:t>
      </w:r>
      <w:r w:rsidRPr="00342E17">
        <w:rPr>
          <w:rFonts w:asciiTheme="majorHAnsi" w:hAnsiTheme="majorHAnsi"/>
          <w:color w:val="595959" w:themeColor="text1" w:themeTint="A6"/>
          <w:spacing w:val="-15"/>
          <w:sz w:val="20"/>
          <w:szCs w:val="20"/>
          <w:lang w:val="pt-PT"/>
        </w:rPr>
        <w:t xml:space="preserve"> que </w:t>
      </w:r>
      <w:proofErr w:type="spellStart"/>
      <w:r w:rsidRPr="00342E17">
        <w:rPr>
          <w:rFonts w:asciiTheme="majorHAnsi" w:hAnsiTheme="majorHAnsi"/>
          <w:color w:val="595959" w:themeColor="text1" w:themeTint="A6"/>
          <w:spacing w:val="-15"/>
          <w:sz w:val="20"/>
          <w:szCs w:val="20"/>
          <w:lang w:val="pt-PT"/>
        </w:rPr>
        <w:t>contribuyan</w:t>
      </w:r>
      <w:proofErr w:type="spellEnd"/>
      <w:r w:rsidRPr="00342E17">
        <w:rPr>
          <w:rFonts w:asciiTheme="majorHAnsi" w:hAnsiTheme="majorHAnsi"/>
          <w:color w:val="595959" w:themeColor="text1" w:themeTint="A6"/>
          <w:spacing w:val="-15"/>
          <w:sz w:val="20"/>
          <w:szCs w:val="20"/>
          <w:lang w:val="pt-PT"/>
        </w:rPr>
        <w:t xml:space="preserve"> significativamente al avance </w:t>
      </w:r>
      <w:proofErr w:type="spellStart"/>
      <w:r w:rsidRPr="00342E17">
        <w:rPr>
          <w:rFonts w:asciiTheme="majorHAnsi" w:hAnsiTheme="majorHAnsi"/>
          <w:color w:val="595959" w:themeColor="text1" w:themeTint="A6"/>
          <w:spacing w:val="-15"/>
          <w:sz w:val="20"/>
          <w:szCs w:val="20"/>
          <w:lang w:val="pt-PT"/>
        </w:rPr>
        <w:t>del</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conocimiento</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en</w:t>
      </w:r>
      <w:proofErr w:type="spellEnd"/>
      <w:r w:rsidRPr="00342E17">
        <w:rPr>
          <w:rFonts w:asciiTheme="majorHAnsi" w:hAnsiTheme="majorHAnsi"/>
          <w:color w:val="595959" w:themeColor="text1" w:themeTint="A6"/>
          <w:spacing w:val="-15"/>
          <w:sz w:val="20"/>
          <w:szCs w:val="20"/>
          <w:lang w:val="pt-PT"/>
        </w:rPr>
        <w:t xml:space="preserve"> el campo de </w:t>
      </w:r>
      <w:proofErr w:type="spellStart"/>
      <w:r w:rsidRPr="00342E17">
        <w:rPr>
          <w:rFonts w:asciiTheme="majorHAnsi" w:hAnsiTheme="majorHAnsi"/>
          <w:color w:val="595959" w:themeColor="text1" w:themeTint="A6"/>
          <w:spacing w:val="-15"/>
          <w:sz w:val="20"/>
          <w:szCs w:val="20"/>
          <w:lang w:val="pt-PT"/>
        </w:rPr>
        <w:t>estudios</w:t>
      </w:r>
      <w:proofErr w:type="spellEnd"/>
      <w:r w:rsidRPr="00342E17">
        <w:rPr>
          <w:rFonts w:asciiTheme="majorHAnsi" w:hAnsiTheme="majorHAnsi"/>
          <w:color w:val="595959" w:themeColor="text1" w:themeTint="A6"/>
          <w:spacing w:val="-15"/>
          <w:sz w:val="20"/>
          <w:szCs w:val="20"/>
          <w:lang w:val="pt-PT"/>
        </w:rPr>
        <w:t xml:space="preserve"> de la </w:t>
      </w:r>
      <w:proofErr w:type="spellStart"/>
      <w:r w:rsidRPr="00342E17">
        <w:rPr>
          <w:rFonts w:asciiTheme="majorHAnsi" w:hAnsiTheme="majorHAnsi"/>
          <w:color w:val="595959" w:themeColor="text1" w:themeTint="A6"/>
          <w:spacing w:val="-15"/>
          <w:sz w:val="20"/>
          <w:szCs w:val="20"/>
          <w:lang w:val="pt-PT"/>
        </w:rPr>
        <w:t>mujer</w:t>
      </w:r>
      <w:proofErr w:type="spellEnd"/>
      <w:r w:rsidRPr="00342E17">
        <w:rPr>
          <w:rFonts w:asciiTheme="majorHAnsi" w:hAnsiTheme="majorHAnsi"/>
          <w:color w:val="595959" w:themeColor="text1" w:themeTint="A6"/>
          <w:spacing w:val="-15"/>
          <w:sz w:val="20"/>
          <w:szCs w:val="20"/>
          <w:lang w:val="pt-PT"/>
        </w:rPr>
        <w:t>, feministas y de género</w:t>
      </w:r>
      <w:r>
        <w:rPr>
          <w:rFonts w:asciiTheme="majorHAnsi" w:hAnsiTheme="majorHAnsi"/>
          <w:color w:val="595959" w:themeColor="text1" w:themeTint="A6"/>
          <w:spacing w:val="-15"/>
          <w:sz w:val="20"/>
          <w:szCs w:val="20"/>
          <w:lang w:val="pt-PT"/>
        </w:rPr>
        <w:t>.</w:t>
      </w:r>
    </w:p>
    <w:p w:rsidR="00D41894" w:rsidRPr="00342E17" w:rsidRDefault="00342E17" w:rsidP="00D41894">
      <w:pPr>
        <w:rPr>
          <w:rFonts w:asciiTheme="majorHAnsi" w:hAnsiTheme="majorHAnsi"/>
          <w:color w:val="595959" w:themeColor="text1" w:themeTint="A6"/>
          <w:spacing w:val="-15"/>
          <w:sz w:val="20"/>
          <w:szCs w:val="20"/>
          <w:lang w:val="pt-PT"/>
        </w:rPr>
      </w:pPr>
      <w:r w:rsidRPr="00342E17">
        <w:rPr>
          <w:rFonts w:asciiTheme="majorHAnsi" w:hAnsiTheme="majorHAnsi"/>
          <w:color w:val="595959" w:themeColor="text1" w:themeTint="A6"/>
          <w:spacing w:val="-15"/>
          <w:sz w:val="20"/>
          <w:szCs w:val="20"/>
          <w:lang w:val="pt-PT"/>
        </w:rPr>
        <w:t xml:space="preserve">Los artículos enviados a </w:t>
      </w:r>
      <w:proofErr w:type="spellStart"/>
      <w:r w:rsidRPr="00342E17">
        <w:rPr>
          <w:rFonts w:asciiTheme="majorHAnsi" w:hAnsiTheme="majorHAnsi"/>
          <w:b/>
          <w:i/>
          <w:sz w:val="20"/>
          <w:szCs w:val="24"/>
          <w:lang w:val="pt-PT"/>
        </w:rPr>
        <w:t>ex</w:t>
      </w:r>
      <w:proofErr w:type="spellEnd"/>
      <w:r w:rsidRPr="00342E17">
        <w:rPr>
          <w:rFonts w:asciiTheme="majorHAnsi" w:hAnsiTheme="majorHAnsi"/>
          <w:b/>
          <w:i/>
          <w:sz w:val="20"/>
          <w:szCs w:val="24"/>
          <w:lang w:val="pt-PT"/>
        </w:rPr>
        <w:t xml:space="preserve"> </w:t>
      </w:r>
      <w:proofErr w:type="spellStart"/>
      <w:r w:rsidRPr="00342E17">
        <w:rPr>
          <w:rFonts w:asciiTheme="majorHAnsi" w:hAnsiTheme="majorHAnsi"/>
          <w:b/>
          <w:i/>
          <w:sz w:val="20"/>
          <w:szCs w:val="24"/>
          <w:lang w:val="pt-PT"/>
        </w:rPr>
        <w:t>æquo</w:t>
      </w:r>
      <w:proofErr w:type="spellEnd"/>
      <w:r w:rsidRPr="00342E17">
        <w:rPr>
          <w:rFonts w:asciiTheme="majorHAnsi" w:hAnsiTheme="majorHAnsi"/>
          <w:color w:val="595959" w:themeColor="text1" w:themeTint="A6"/>
          <w:spacing w:val="-15"/>
          <w:sz w:val="16"/>
          <w:szCs w:val="20"/>
          <w:lang w:val="pt-PT"/>
        </w:rPr>
        <w:t xml:space="preserve"> </w:t>
      </w:r>
      <w:r w:rsidRPr="00342E17">
        <w:rPr>
          <w:rFonts w:asciiTheme="majorHAnsi" w:hAnsiTheme="majorHAnsi"/>
          <w:color w:val="595959" w:themeColor="text1" w:themeTint="A6"/>
          <w:spacing w:val="-15"/>
          <w:sz w:val="20"/>
          <w:szCs w:val="20"/>
          <w:lang w:val="pt-PT"/>
        </w:rPr>
        <w:t xml:space="preserve">para </w:t>
      </w:r>
      <w:proofErr w:type="spellStart"/>
      <w:r w:rsidRPr="00342E17">
        <w:rPr>
          <w:rFonts w:asciiTheme="majorHAnsi" w:hAnsiTheme="majorHAnsi"/>
          <w:color w:val="595959" w:themeColor="text1" w:themeTint="A6"/>
          <w:spacing w:val="-15"/>
          <w:sz w:val="20"/>
          <w:szCs w:val="20"/>
          <w:lang w:val="pt-PT"/>
        </w:rPr>
        <w:t>publicación</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son</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sometidos</w:t>
      </w:r>
      <w:proofErr w:type="spellEnd"/>
      <w:r w:rsidRPr="00342E17">
        <w:rPr>
          <w:rFonts w:asciiTheme="majorHAnsi" w:hAnsiTheme="majorHAnsi"/>
          <w:color w:val="595959" w:themeColor="text1" w:themeTint="A6"/>
          <w:spacing w:val="-15"/>
          <w:sz w:val="20"/>
          <w:szCs w:val="20"/>
          <w:lang w:val="pt-PT"/>
        </w:rPr>
        <w:t xml:space="preserve">, bajo anonimato, </w:t>
      </w:r>
      <w:proofErr w:type="spellStart"/>
      <w:r w:rsidRPr="00342E17">
        <w:rPr>
          <w:rFonts w:asciiTheme="majorHAnsi" w:hAnsiTheme="majorHAnsi"/>
          <w:color w:val="595959" w:themeColor="text1" w:themeTint="A6"/>
          <w:spacing w:val="-15"/>
          <w:sz w:val="20"/>
          <w:szCs w:val="20"/>
          <w:lang w:val="pt-PT"/>
        </w:rPr>
        <w:t>un</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proceso</w:t>
      </w:r>
      <w:proofErr w:type="spellEnd"/>
      <w:r w:rsidRPr="00342E17">
        <w:rPr>
          <w:rFonts w:asciiTheme="majorHAnsi" w:hAnsiTheme="majorHAnsi"/>
          <w:color w:val="595959" w:themeColor="text1" w:themeTint="A6"/>
          <w:spacing w:val="-15"/>
          <w:sz w:val="20"/>
          <w:szCs w:val="20"/>
          <w:lang w:val="pt-PT"/>
        </w:rPr>
        <w:t xml:space="preserve"> de </w:t>
      </w:r>
      <w:proofErr w:type="spellStart"/>
      <w:r w:rsidRPr="00342E17">
        <w:rPr>
          <w:rFonts w:asciiTheme="majorHAnsi" w:hAnsiTheme="majorHAnsi"/>
          <w:color w:val="595959" w:themeColor="text1" w:themeTint="A6"/>
          <w:spacing w:val="-15"/>
          <w:sz w:val="20"/>
          <w:szCs w:val="20"/>
          <w:lang w:val="pt-PT"/>
        </w:rPr>
        <w:t>arbitraje</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independiente</w:t>
      </w:r>
      <w:proofErr w:type="spellEnd"/>
      <w:r w:rsidRPr="00342E17">
        <w:rPr>
          <w:rFonts w:asciiTheme="majorHAnsi" w:hAnsiTheme="majorHAnsi"/>
          <w:color w:val="595959" w:themeColor="text1" w:themeTint="A6"/>
          <w:spacing w:val="-15"/>
          <w:sz w:val="20"/>
          <w:szCs w:val="20"/>
          <w:lang w:val="pt-PT"/>
        </w:rPr>
        <w:t xml:space="preserve"> dual (</w:t>
      </w:r>
      <w:proofErr w:type="spellStart"/>
      <w:r w:rsidRPr="00342E17">
        <w:rPr>
          <w:rFonts w:asciiTheme="majorHAnsi" w:hAnsiTheme="majorHAnsi"/>
          <w:color w:val="595959" w:themeColor="text1" w:themeTint="A6"/>
          <w:spacing w:val="-15"/>
          <w:sz w:val="20"/>
          <w:szCs w:val="20"/>
          <w:lang w:val="pt-PT"/>
        </w:rPr>
        <w:t>revisión</w:t>
      </w:r>
      <w:proofErr w:type="spellEnd"/>
      <w:r w:rsidRPr="00342E17">
        <w:rPr>
          <w:rFonts w:asciiTheme="majorHAnsi" w:hAnsiTheme="majorHAnsi"/>
          <w:color w:val="595959" w:themeColor="text1" w:themeTint="A6"/>
          <w:spacing w:val="-15"/>
          <w:sz w:val="20"/>
          <w:szCs w:val="20"/>
          <w:lang w:val="pt-PT"/>
        </w:rPr>
        <w:t xml:space="preserve"> doble </w:t>
      </w:r>
      <w:proofErr w:type="spellStart"/>
      <w:r w:rsidRPr="00342E17">
        <w:rPr>
          <w:rFonts w:asciiTheme="majorHAnsi" w:hAnsiTheme="majorHAnsi"/>
          <w:color w:val="595959" w:themeColor="text1" w:themeTint="A6"/>
          <w:spacing w:val="-15"/>
          <w:sz w:val="20"/>
          <w:szCs w:val="20"/>
          <w:lang w:val="pt-PT"/>
        </w:rPr>
        <w:t>ciega</w:t>
      </w:r>
      <w:proofErr w:type="spellEnd"/>
      <w:r w:rsidRPr="00342E17">
        <w:rPr>
          <w:rFonts w:asciiTheme="majorHAnsi" w:hAnsiTheme="majorHAnsi"/>
          <w:color w:val="595959" w:themeColor="text1" w:themeTint="A6"/>
          <w:spacing w:val="-15"/>
          <w:sz w:val="20"/>
          <w:szCs w:val="20"/>
          <w:lang w:val="pt-PT"/>
        </w:rPr>
        <w:t xml:space="preserve">) por expertos </w:t>
      </w:r>
      <w:proofErr w:type="spellStart"/>
      <w:r w:rsidRPr="00342E17">
        <w:rPr>
          <w:rFonts w:asciiTheme="majorHAnsi" w:hAnsiTheme="majorHAnsi"/>
          <w:color w:val="595959" w:themeColor="text1" w:themeTint="A6"/>
          <w:spacing w:val="-15"/>
          <w:sz w:val="20"/>
          <w:szCs w:val="20"/>
          <w:lang w:val="pt-PT"/>
        </w:rPr>
        <w:t>nacionales</w:t>
      </w:r>
      <w:proofErr w:type="spellEnd"/>
      <w:r w:rsidRPr="00342E17">
        <w:rPr>
          <w:rFonts w:asciiTheme="majorHAnsi" w:hAnsiTheme="majorHAnsi"/>
          <w:color w:val="595959" w:themeColor="text1" w:themeTint="A6"/>
          <w:spacing w:val="-15"/>
          <w:sz w:val="20"/>
          <w:szCs w:val="20"/>
          <w:lang w:val="pt-PT"/>
        </w:rPr>
        <w:t xml:space="preserve"> e </w:t>
      </w:r>
      <w:proofErr w:type="spellStart"/>
      <w:r w:rsidRPr="00342E17">
        <w:rPr>
          <w:rFonts w:asciiTheme="majorHAnsi" w:hAnsiTheme="majorHAnsi"/>
          <w:color w:val="595959" w:themeColor="text1" w:themeTint="A6"/>
          <w:spacing w:val="-15"/>
          <w:sz w:val="20"/>
          <w:szCs w:val="20"/>
          <w:lang w:val="pt-PT"/>
        </w:rPr>
        <w:t>internacionales</w:t>
      </w:r>
      <w:proofErr w:type="spellEnd"/>
      <w:r w:rsidRPr="00342E17">
        <w:rPr>
          <w:rFonts w:asciiTheme="majorHAnsi" w:hAnsiTheme="majorHAnsi"/>
          <w:color w:val="595959" w:themeColor="text1" w:themeTint="A6"/>
          <w:spacing w:val="-15"/>
          <w:sz w:val="20"/>
          <w:szCs w:val="20"/>
          <w:lang w:val="pt-PT"/>
        </w:rPr>
        <w:t xml:space="preserve"> </w:t>
      </w:r>
      <w:proofErr w:type="spellStart"/>
      <w:r w:rsidRPr="00342E17">
        <w:rPr>
          <w:rFonts w:asciiTheme="majorHAnsi" w:hAnsiTheme="majorHAnsi"/>
          <w:color w:val="595959" w:themeColor="text1" w:themeTint="A6"/>
          <w:spacing w:val="-15"/>
          <w:sz w:val="20"/>
          <w:szCs w:val="20"/>
          <w:lang w:val="pt-PT"/>
        </w:rPr>
        <w:t>en</w:t>
      </w:r>
      <w:proofErr w:type="spellEnd"/>
      <w:r w:rsidRPr="00342E17">
        <w:rPr>
          <w:rFonts w:asciiTheme="majorHAnsi" w:hAnsiTheme="majorHAnsi"/>
          <w:color w:val="595959" w:themeColor="text1" w:themeTint="A6"/>
          <w:spacing w:val="-15"/>
          <w:sz w:val="20"/>
          <w:szCs w:val="20"/>
          <w:lang w:val="pt-PT"/>
        </w:rPr>
        <w:t xml:space="preserve"> el área </w:t>
      </w:r>
      <w:proofErr w:type="spellStart"/>
      <w:r w:rsidRPr="00342E17">
        <w:rPr>
          <w:rFonts w:asciiTheme="majorHAnsi" w:hAnsiTheme="majorHAnsi"/>
          <w:color w:val="595959" w:themeColor="text1" w:themeTint="A6"/>
          <w:spacing w:val="-15"/>
          <w:sz w:val="20"/>
          <w:szCs w:val="20"/>
          <w:lang w:val="pt-PT"/>
        </w:rPr>
        <w:t>respecti</w:t>
      </w:r>
      <w:r>
        <w:rPr>
          <w:rFonts w:asciiTheme="majorHAnsi" w:hAnsiTheme="majorHAnsi"/>
          <w:color w:val="595959" w:themeColor="text1" w:themeTint="A6"/>
          <w:spacing w:val="-15"/>
          <w:sz w:val="20"/>
          <w:szCs w:val="20"/>
          <w:lang w:val="pt-PT"/>
        </w:rPr>
        <w:t>va</w:t>
      </w:r>
      <w:proofErr w:type="spellEnd"/>
      <w:r>
        <w:rPr>
          <w:rFonts w:asciiTheme="majorHAnsi" w:hAnsiTheme="majorHAnsi"/>
          <w:color w:val="595959" w:themeColor="text1" w:themeTint="A6"/>
          <w:spacing w:val="-15"/>
          <w:sz w:val="20"/>
          <w:szCs w:val="20"/>
          <w:lang w:val="pt-PT"/>
        </w:rPr>
        <w:t xml:space="preserve"> </w:t>
      </w:r>
      <w:proofErr w:type="spellStart"/>
      <w:r>
        <w:rPr>
          <w:rFonts w:asciiTheme="majorHAnsi" w:hAnsiTheme="majorHAnsi"/>
          <w:color w:val="595959" w:themeColor="text1" w:themeTint="A6"/>
          <w:spacing w:val="-15"/>
          <w:sz w:val="20"/>
          <w:szCs w:val="20"/>
          <w:lang w:val="pt-PT"/>
        </w:rPr>
        <w:t>en</w:t>
      </w:r>
      <w:proofErr w:type="spellEnd"/>
      <w:r>
        <w:rPr>
          <w:rFonts w:asciiTheme="majorHAnsi" w:hAnsiTheme="majorHAnsi"/>
          <w:color w:val="595959" w:themeColor="text1" w:themeTint="A6"/>
          <w:spacing w:val="-15"/>
          <w:sz w:val="20"/>
          <w:szCs w:val="20"/>
          <w:lang w:val="pt-PT"/>
        </w:rPr>
        <w:t xml:space="preserve"> la que el texto se ajusta. </w:t>
      </w:r>
      <w:r w:rsidRPr="00342E17">
        <w:rPr>
          <w:rFonts w:asciiTheme="majorHAnsi" w:hAnsiTheme="majorHAnsi"/>
          <w:color w:val="595959" w:themeColor="text1" w:themeTint="A6"/>
          <w:spacing w:val="-15"/>
          <w:sz w:val="20"/>
          <w:szCs w:val="20"/>
          <w:lang w:val="pt-PT"/>
        </w:rPr>
        <w:t xml:space="preserve">Está indexada </w:t>
      </w:r>
      <w:proofErr w:type="spellStart"/>
      <w:r w:rsidRPr="00342E17">
        <w:rPr>
          <w:rFonts w:asciiTheme="majorHAnsi" w:hAnsiTheme="majorHAnsi"/>
          <w:color w:val="595959" w:themeColor="text1" w:themeTint="A6"/>
          <w:spacing w:val="-15"/>
          <w:sz w:val="20"/>
          <w:szCs w:val="20"/>
          <w:lang w:val="pt-PT"/>
        </w:rPr>
        <w:t>en</w:t>
      </w:r>
      <w:proofErr w:type="spellEnd"/>
      <w:r w:rsidRPr="00342E17">
        <w:rPr>
          <w:rFonts w:asciiTheme="majorHAnsi" w:hAnsiTheme="majorHAnsi"/>
          <w:color w:val="595959" w:themeColor="text1" w:themeTint="A6"/>
          <w:spacing w:val="-15"/>
          <w:sz w:val="20"/>
          <w:szCs w:val="20"/>
          <w:lang w:val="pt-PT"/>
        </w:rPr>
        <w:t xml:space="preserve"> la base de </w:t>
      </w:r>
      <w:proofErr w:type="spellStart"/>
      <w:r w:rsidRPr="00342E17">
        <w:rPr>
          <w:rFonts w:asciiTheme="majorHAnsi" w:hAnsiTheme="majorHAnsi"/>
          <w:color w:val="595959" w:themeColor="text1" w:themeTint="A6"/>
          <w:spacing w:val="-15"/>
          <w:sz w:val="20"/>
          <w:szCs w:val="20"/>
          <w:lang w:val="pt-PT"/>
        </w:rPr>
        <w:t>datos</w:t>
      </w:r>
      <w:proofErr w:type="spellEnd"/>
      <w:r>
        <w:rPr>
          <w:rFonts w:asciiTheme="majorHAnsi" w:hAnsiTheme="majorHAnsi"/>
          <w:color w:val="595959" w:themeColor="text1" w:themeTint="A6"/>
          <w:spacing w:val="-15"/>
          <w:sz w:val="20"/>
          <w:szCs w:val="20"/>
          <w:lang w:val="pt-PT"/>
        </w:rPr>
        <w:t xml:space="preserve"> </w:t>
      </w:r>
      <w:proofErr w:type="spellStart"/>
      <w:r w:rsidR="00D41894" w:rsidRPr="00737F7F">
        <w:rPr>
          <w:rFonts w:asciiTheme="majorHAnsi" w:hAnsiTheme="majorHAnsi"/>
          <w:color w:val="595959" w:themeColor="text1" w:themeTint="A6"/>
          <w:sz w:val="20"/>
          <w:szCs w:val="20"/>
          <w:lang w:val="pt-PT"/>
        </w:rPr>
        <w:t>Scientific</w:t>
      </w:r>
      <w:proofErr w:type="spellEnd"/>
      <w:r w:rsidR="00D41894" w:rsidRPr="00737F7F">
        <w:rPr>
          <w:rFonts w:asciiTheme="majorHAnsi" w:hAnsiTheme="majorHAnsi"/>
          <w:color w:val="595959" w:themeColor="text1" w:themeTint="A6"/>
          <w:sz w:val="20"/>
          <w:szCs w:val="20"/>
          <w:lang w:val="pt-PT"/>
        </w:rPr>
        <w:t xml:space="preserve"> </w:t>
      </w:r>
      <w:proofErr w:type="spellStart"/>
      <w:r w:rsidR="00D41894" w:rsidRPr="00737F7F">
        <w:rPr>
          <w:rFonts w:asciiTheme="majorHAnsi" w:hAnsiTheme="majorHAnsi"/>
          <w:color w:val="595959" w:themeColor="text1" w:themeTint="A6"/>
          <w:sz w:val="20"/>
          <w:szCs w:val="20"/>
          <w:lang w:val="pt-PT"/>
        </w:rPr>
        <w:t>Electronic</w:t>
      </w:r>
      <w:proofErr w:type="spellEnd"/>
      <w:r w:rsidR="00D41894" w:rsidRPr="00737F7F">
        <w:rPr>
          <w:rFonts w:asciiTheme="majorHAnsi" w:hAnsiTheme="majorHAnsi"/>
          <w:color w:val="595959" w:themeColor="text1" w:themeTint="A6"/>
          <w:sz w:val="20"/>
          <w:szCs w:val="20"/>
          <w:lang w:val="pt-PT"/>
        </w:rPr>
        <w:t xml:space="preserve"> </w:t>
      </w:r>
      <w:proofErr w:type="spellStart"/>
      <w:r w:rsidR="00D41894" w:rsidRPr="00737F7F">
        <w:rPr>
          <w:rFonts w:asciiTheme="majorHAnsi" w:hAnsiTheme="majorHAnsi"/>
          <w:color w:val="595959" w:themeColor="text1" w:themeTint="A6"/>
          <w:sz w:val="20"/>
          <w:szCs w:val="20"/>
          <w:lang w:val="pt-PT"/>
        </w:rPr>
        <w:t>Library</w:t>
      </w:r>
      <w:proofErr w:type="spellEnd"/>
      <w:r w:rsidR="00D41894" w:rsidRPr="00737F7F">
        <w:rPr>
          <w:rFonts w:asciiTheme="majorHAnsi" w:hAnsiTheme="majorHAnsi"/>
          <w:color w:val="595959" w:themeColor="text1" w:themeTint="A6"/>
          <w:sz w:val="20"/>
          <w:szCs w:val="20"/>
          <w:lang w:val="pt-PT"/>
        </w:rPr>
        <w:t xml:space="preserve"> Online (http://www.scielo.gpeari.mctes.pt/scielo.php?script=sci_serial&amp;pid=0874-5560&amp;lng=en&amp;nrm=iso), </w:t>
      </w:r>
      <w:proofErr w:type="spellStart"/>
      <w:r w:rsidR="00D41894" w:rsidRPr="00737F7F">
        <w:rPr>
          <w:rFonts w:asciiTheme="majorHAnsi" w:hAnsiTheme="majorHAnsi"/>
          <w:color w:val="595959" w:themeColor="text1" w:themeTint="A6"/>
          <w:sz w:val="20"/>
          <w:szCs w:val="20"/>
          <w:lang w:val="pt-PT"/>
        </w:rPr>
        <w:t>rec</w:t>
      </w:r>
      <w:r w:rsidR="009E61F3">
        <w:rPr>
          <w:rFonts w:asciiTheme="majorHAnsi" w:hAnsiTheme="majorHAnsi"/>
          <w:color w:val="595959" w:themeColor="text1" w:themeTint="A6"/>
          <w:sz w:val="20"/>
          <w:szCs w:val="20"/>
          <w:lang w:val="pt-PT"/>
        </w:rPr>
        <w:t>i</w:t>
      </w:r>
      <w:r w:rsidR="00D41894" w:rsidRPr="00737F7F">
        <w:rPr>
          <w:rFonts w:asciiTheme="majorHAnsi" w:hAnsiTheme="majorHAnsi"/>
          <w:color w:val="595959" w:themeColor="text1" w:themeTint="A6"/>
          <w:sz w:val="20"/>
          <w:szCs w:val="20"/>
          <w:lang w:val="pt-PT"/>
        </w:rPr>
        <w:t>entemente</w:t>
      </w:r>
      <w:proofErr w:type="spellEnd"/>
      <w:r w:rsidR="00D41894" w:rsidRPr="00737F7F">
        <w:rPr>
          <w:rFonts w:asciiTheme="majorHAnsi" w:hAnsiTheme="majorHAnsi"/>
          <w:color w:val="595959" w:themeColor="text1" w:themeTint="A6"/>
          <w:sz w:val="20"/>
          <w:szCs w:val="20"/>
          <w:lang w:val="pt-PT"/>
        </w:rPr>
        <w:t xml:space="preserve"> incluída </w:t>
      </w:r>
      <w:proofErr w:type="spellStart"/>
      <w:r w:rsidR="009E61F3">
        <w:rPr>
          <w:rFonts w:asciiTheme="majorHAnsi" w:hAnsiTheme="majorHAnsi"/>
          <w:color w:val="595959" w:themeColor="text1" w:themeTint="A6"/>
          <w:sz w:val="20"/>
          <w:szCs w:val="20"/>
          <w:lang w:val="pt-PT"/>
        </w:rPr>
        <w:t>en</w:t>
      </w:r>
      <w:proofErr w:type="spellEnd"/>
      <w:r w:rsidR="009E61F3">
        <w:rPr>
          <w:rFonts w:asciiTheme="majorHAnsi" w:hAnsiTheme="majorHAnsi"/>
          <w:color w:val="595959" w:themeColor="text1" w:themeTint="A6"/>
          <w:sz w:val="20"/>
          <w:szCs w:val="20"/>
          <w:lang w:val="pt-PT"/>
        </w:rPr>
        <w:t xml:space="preserve"> la</w:t>
      </w:r>
      <w:r w:rsidR="00D41894" w:rsidRPr="00737F7F">
        <w:rPr>
          <w:rFonts w:asciiTheme="majorHAnsi" w:hAnsiTheme="majorHAnsi"/>
          <w:color w:val="595959" w:themeColor="text1" w:themeTint="A6"/>
          <w:sz w:val="20"/>
          <w:szCs w:val="20"/>
          <w:lang w:val="pt-PT"/>
        </w:rPr>
        <w:t xml:space="preserve"> Web </w:t>
      </w:r>
      <w:proofErr w:type="spellStart"/>
      <w:r w:rsidR="00D41894" w:rsidRPr="00737F7F">
        <w:rPr>
          <w:rFonts w:asciiTheme="majorHAnsi" w:hAnsiTheme="majorHAnsi"/>
          <w:color w:val="595959" w:themeColor="text1" w:themeTint="A6"/>
          <w:sz w:val="20"/>
          <w:szCs w:val="20"/>
          <w:lang w:val="pt-PT"/>
        </w:rPr>
        <w:t>of</w:t>
      </w:r>
      <w:proofErr w:type="spellEnd"/>
      <w:r w:rsidR="00D41894" w:rsidRPr="00737F7F">
        <w:rPr>
          <w:rFonts w:asciiTheme="majorHAnsi" w:hAnsiTheme="majorHAnsi"/>
          <w:color w:val="595959" w:themeColor="text1" w:themeTint="A6"/>
          <w:sz w:val="20"/>
          <w:szCs w:val="20"/>
          <w:lang w:val="pt-PT"/>
        </w:rPr>
        <w:t xml:space="preserve"> </w:t>
      </w:r>
      <w:proofErr w:type="spellStart"/>
      <w:r w:rsidR="00D41894" w:rsidRPr="00737F7F">
        <w:rPr>
          <w:rFonts w:asciiTheme="majorHAnsi" w:hAnsiTheme="majorHAnsi"/>
          <w:color w:val="595959" w:themeColor="text1" w:themeTint="A6"/>
          <w:sz w:val="20"/>
          <w:szCs w:val="20"/>
          <w:lang w:val="pt-PT"/>
        </w:rPr>
        <w:t>Science-T</w:t>
      </w:r>
      <w:bookmarkStart w:id="0" w:name="_GoBack"/>
      <w:bookmarkEnd w:id="0"/>
      <w:r w:rsidR="00D41894" w:rsidRPr="00737F7F">
        <w:rPr>
          <w:rFonts w:asciiTheme="majorHAnsi" w:hAnsiTheme="majorHAnsi"/>
          <w:color w:val="595959" w:themeColor="text1" w:themeTint="A6"/>
          <w:sz w:val="20"/>
          <w:szCs w:val="20"/>
          <w:lang w:val="pt-PT"/>
        </w:rPr>
        <w:t>homson</w:t>
      </w:r>
      <w:proofErr w:type="spellEnd"/>
      <w:r w:rsidR="00D41894" w:rsidRPr="00737F7F">
        <w:rPr>
          <w:rFonts w:asciiTheme="majorHAnsi" w:hAnsiTheme="majorHAnsi"/>
          <w:color w:val="595959" w:themeColor="text1" w:themeTint="A6"/>
          <w:sz w:val="20"/>
          <w:szCs w:val="20"/>
          <w:lang w:val="pt-PT"/>
        </w:rPr>
        <w:t xml:space="preserve"> Reuters </w:t>
      </w:r>
      <w:proofErr w:type="spellStart"/>
      <w:r w:rsidR="00D41894" w:rsidRPr="00737F7F">
        <w:rPr>
          <w:rFonts w:asciiTheme="majorHAnsi" w:hAnsiTheme="majorHAnsi"/>
          <w:color w:val="595959" w:themeColor="text1" w:themeTint="A6"/>
          <w:sz w:val="20"/>
          <w:szCs w:val="20"/>
          <w:lang w:val="pt-PT"/>
        </w:rPr>
        <w:t>SciELO</w:t>
      </w:r>
      <w:proofErr w:type="spellEnd"/>
      <w:r w:rsidR="00D41894" w:rsidRPr="00737F7F">
        <w:rPr>
          <w:rFonts w:asciiTheme="majorHAnsi" w:hAnsiTheme="majorHAnsi"/>
          <w:color w:val="595959" w:themeColor="text1" w:themeTint="A6"/>
          <w:sz w:val="20"/>
          <w:szCs w:val="20"/>
          <w:lang w:val="pt-PT"/>
        </w:rPr>
        <w:t xml:space="preserve"> </w:t>
      </w:r>
      <w:proofErr w:type="spellStart"/>
      <w:r w:rsidR="00D41894" w:rsidRPr="00737F7F">
        <w:rPr>
          <w:rFonts w:asciiTheme="majorHAnsi" w:hAnsiTheme="majorHAnsi"/>
          <w:color w:val="595959" w:themeColor="text1" w:themeTint="A6"/>
          <w:sz w:val="20"/>
          <w:szCs w:val="20"/>
          <w:lang w:val="pt-PT"/>
        </w:rPr>
        <w:t>Citation</w:t>
      </w:r>
      <w:proofErr w:type="spellEnd"/>
      <w:r w:rsidR="00D41894" w:rsidRPr="00737F7F">
        <w:rPr>
          <w:rFonts w:asciiTheme="majorHAnsi" w:hAnsiTheme="majorHAnsi"/>
          <w:color w:val="595959" w:themeColor="text1" w:themeTint="A6"/>
          <w:sz w:val="20"/>
          <w:szCs w:val="20"/>
          <w:lang w:val="pt-PT"/>
        </w:rPr>
        <w:t xml:space="preserve"> </w:t>
      </w:r>
      <w:proofErr w:type="spellStart"/>
      <w:r w:rsidR="00D41894" w:rsidRPr="00737F7F">
        <w:rPr>
          <w:rFonts w:asciiTheme="majorHAnsi" w:hAnsiTheme="majorHAnsi"/>
          <w:color w:val="595959" w:themeColor="text1" w:themeTint="A6"/>
          <w:sz w:val="20"/>
          <w:szCs w:val="20"/>
          <w:lang w:val="pt-PT"/>
        </w:rPr>
        <w:t>Index</w:t>
      </w:r>
      <w:proofErr w:type="spellEnd"/>
      <w:r w:rsidR="00D41894" w:rsidRPr="00737F7F">
        <w:rPr>
          <w:rFonts w:asciiTheme="majorHAnsi" w:hAnsiTheme="majorHAnsi"/>
          <w:color w:val="595959" w:themeColor="text1" w:themeTint="A6"/>
          <w:sz w:val="20"/>
          <w:szCs w:val="20"/>
          <w:lang w:val="pt-PT"/>
        </w:rPr>
        <w:t xml:space="preserve"> (http://thomsonreuters.com/scielo-citation-index/; </w:t>
      </w:r>
      <w:hyperlink r:id="rId7" w:anchor=".VIA15DGsURo" w:history="1">
        <w:r w:rsidR="00D41894" w:rsidRPr="00737F7F">
          <w:rPr>
            <w:rStyle w:val="Hiperligao"/>
            <w:rFonts w:asciiTheme="majorHAnsi" w:hAnsiTheme="majorHAnsi"/>
            <w:sz w:val="20"/>
            <w:szCs w:val="20"/>
            <w:lang w:val="pt-PT"/>
          </w:rPr>
          <w:t>http://blog.scielo.org/en/2014/02/28/scielo-citation-index-in-the-web-of-science/#.VIA15DGsURo</w:t>
        </w:r>
      </w:hyperlink>
      <w:r w:rsidR="00D41894" w:rsidRPr="00A00A90">
        <w:rPr>
          <w:rFonts w:asciiTheme="majorHAnsi" w:hAnsiTheme="majorHAnsi"/>
          <w:sz w:val="20"/>
          <w:szCs w:val="20"/>
          <w:lang w:val="pt-PT"/>
        </w:rPr>
        <w:t>)</w:t>
      </w:r>
    </w:p>
    <w:p w:rsidR="00BC2912" w:rsidRPr="002B6EE6" w:rsidRDefault="00BC2912" w:rsidP="00BC2912">
      <w:pPr>
        <w:pStyle w:val="Textodenotadefim"/>
        <w:spacing w:line="276" w:lineRule="auto"/>
        <w:ind w:left="567" w:hanging="567"/>
        <w:jc w:val="both"/>
        <w:rPr>
          <w:rFonts w:asciiTheme="majorHAnsi" w:hAnsiTheme="majorHAnsi" w:cs="Times New Roman"/>
          <w:sz w:val="24"/>
          <w:szCs w:val="24"/>
          <w:lang w:val="es-ES"/>
        </w:rPr>
      </w:pPr>
    </w:p>
    <w:p w:rsidR="00BC2912" w:rsidRPr="002B6EE6" w:rsidRDefault="00BC2912" w:rsidP="00BC2912">
      <w:pPr>
        <w:pStyle w:val="Textodenotadefi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spacing w:line="276" w:lineRule="auto"/>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Además de los</w:t>
      </w:r>
      <w:r>
        <w:rPr>
          <w:rFonts w:asciiTheme="majorHAnsi" w:hAnsiTheme="majorHAnsi" w:cs="Times New Roman"/>
          <w:sz w:val="24"/>
          <w:szCs w:val="24"/>
          <w:lang w:val="es-ES"/>
        </w:rPr>
        <w:t xml:space="preserve"> </w:t>
      </w:r>
      <w:r w:rsidRPr="002B6EE6">
        <w:rPr>
          <w:rFonts w:asciiTheme="majorHAnsi" w:hAnsiTheme="majorHAnsi" w:cs="Times New Roman"/>
          <w:sz w:val="24"/>
          <w:szCs w:val="24"/>
          <w:lang w:val="es-ES"/>
        </w:rPr>
        <w:t xml:space="preserve">envíos para los dossiers temáticos, </w:t>
      </w:r>
      <w:r w:rsidRPr="002B6EE6">
        <w:rPr>
          <w:rFonts w:asciiTheme="majorHAnsi" w:hAnsiTheme="majorHAnsi" w:cs="Times New Roman"/>
          <w:i/>
          <w:sz w:val="24"/>
          <w:szCs w:val="24"/>
          <w:lang w:val="es-ES"/>
        </w:rPr>
        <w:t xml:space="preserve">ex </w:t>
      </w:r>
      <w:proofErr w:type="spellStart"/>
      <w:r w:rsidRPr="002B6EE6">
        <w:rPr>
          <w:rFonts w:asciiTheme="majorHAnsi" w:hAnsiTheme="majorHAnsi" w:cs="Times New Roman"/>
          <w:i/>
          <w:sz w:val="24"/>
          <w:szCs w:val="24"/>
          <w:lang w:val="es-ES"/>
        </w:rPr>
        <w:t>æquo</w:t>
      </w:r>
      <w:proofErr w:type="spellEnd"/>
      <w:r w:rsidRPr="002B6EE6">
        <w:rPr>
          <w:rFonts w:asciiTheme="majorHAnsi" w:hAnsiTheme="majorHAnsi" w:cs="Times New Roman"/>
          <w:sz w:val="24"/>
          <w:szCs w:val="24"/>
          <w:lang w:val="es-ES"/>
        </w:rPr>
        <w:t xml:space="preserve"> acepta permanentemente contribuciones para las secciones de Estudios y Ensayos y Recensiones.</w:t>
      </w:r>
    </w:p>
    <w:p w:rsidR="00F9680D" w:rsidRPr="00D41894" w:rsidRDefault="00F9680D">
      <w:pPr>
        <w:rPr>
          <w:lang w:val="pt-PT"/>
        </w:rPr>
      </w:pPr>
    </w:p>
    <w:p w:rsidR="00BC2912" w:rsidRDefault="00D41894" w:rsidP="00D41894">
      <w:pPr>
        <w:rPr>
          <w:rFonts w:asciiTheme="majorHAnsi" w:hAnsiTheme="majorHAnsi" w:cs="Times New Roman"/>
          <w:b/>
          <w:sz w:val="24"/>
          <w:szCs w:val="24"/>
          <w:lang w:val="es-ES"/>
        </w:rPr>
      </w:pPr>
      <w:r w:rsidRPr="002B6EE6">
        <w:rPr>
          <w:rFonts w:asciiTheme="majorHAnsi" w:hAnsiTheme="majorHAnsi" w:cs="Times New Roman"/>
          <w:b/>
          <w:sz w:val="24"/>
          <w:szCs w:val="24"/>
          <w:lang w:val="es-ES"/>
        </w:rPr>
        <w:t xml:space="preserve">Convocatoria de artículos para el dossier temático Nº 33 </w:t>
      </w:r>
    </w:p>
    <w:p w:rsidR="00D41894" w:rsidRPr="002B6EE6" w:rsidRDefault="00BC2912" w:rsidP="00D41894">
      <w:pPr>
        <w:rPr>
          <w:rFonts w:asciiTheme="majorHAnsi" w:hAnsiTheme="majorHAnsi" w:cs="Times New Roman"/>
          <w:b/>
          <w:sz w:val="24"/>
          <w:szCs w:val="24"/>
          <w:lang w:val="es-ES"/>
        </w:rPr>
      </w:pPr>
      <w:r>
        <w:rPr>
          <w:rFonts w:asciiTheme="majorHAnsi" w:hAnsiTheme="majorHAnsi" w:cs="Times New Roman"/>
          <w:b/>
          <w:sz w:val="24"/>
          <w:szCs w:val="24"/>
          <w:lang w:val="es-ES"/>
        </w:rPr>
        <w:t xml:space="preserve">Data de sumisión – 30 de septiembre </w:t>
      </w:r>
      <w:r w:rsidR="00D41894" w:rsidRPr="002B6EE6">
        <w:rPr>
          <w:rFonts w:asciiTheme="majorHAnsi" w:hAnsiTheme="majorHAnsi" w:cs="Times New Roman"/>
          <w:b/>
          <w:sz w:val="24"/>
          <w:szCs w:val="24"/>
          <w:lang w:val="es-ES"/>
        </w:rPr>
        <w:t>(</w:t>
      </w:r>
      <w:r>
        <w:rPr>
          <w:rFonts w:asciiTheme="majorHAnsi" w:hAnsiTheme="majorHAnsi" w:cs="Times New Roman"/>
          <w:b/>
          <w:sz w:val="24"/>
          <w:szCs w:val="24"/>
          <w:lang w:val="es-ES"/>
        </w:rPr>
        <w:t xml:space="preserve">a publicar en </w:t>
      </w:r>
      <w:r w:rsidR="00D41894" w:rsidRPr="002B6EE6">
        <w:rPr>
          <w:rFonts w:asciiTheme="majorHAnsi" w:hAnsiTheme="majorHAnsi" w:cs="Times New Roman"/>
          <w:b/>
          <w:sz w:val="24"/>
          <w:szCs w:val="24"/>
          <w:lang w:val="es-ES"/>
        </w:rPr>
        <w:t>abril de 2016)</w:t>
      </w:r>
    </w:p>
    <w:p w:rsidR="00D41894" w:rsidRPr="002B6EE6" w:rsidRDefault="00D41894" w:rsidP="00D41894">
      <w:pPr>
        <w:rPr>
          <w:rFonts w:asciiTheme="majorHAnsi" w:hAnsiTheme="majorHAnsi" w:cs="Times New Roman"/>
          <w:b/>
          <w:sz w:val="24"/>
          <w:szCs w:val="24"/>
          <w:lang w:val="es-ES"/>
        </w:rPr>
      </w:pPr>
      <w:r w:rsidRPr="002B6EE6">
        <w:rPr>
          <w:rFonts w:asciiTheme="majorHAnsi" w:hAnsiTheme="majorHAnsi" w:cs="Times New Roman"/>
          <w:b/>
          <w:sz w:val="24"/>
          <w:szCs w:val="24"/>
          <w:lang w:val="es-ES"/>
        </w:rPr>
        <w:t>“Género, profesiones y carreras: oportunidades, constreñimientos y desafíos”</w:t>
      </w:r>
    </w:p>
    <w:p w:rsidR="00D41894" w:rsidRPr="002B6EE6" w:rsidRDefault="00D41894" w:rsidP="00D41894">
      <w:pPr>
        <w:rPr>
          <w:rFonts w:asciiTheme="majorHAnsi" w:hAnsiTheme="majorHAnsi"/>
          <w:b/>
          <w:sz w:val="24"/>
          <w:szCs w:val="24"/>
          <w:lang w:val="es-ES"/>
        </w:rPr>
      </w:pPr>
      <w:r w:rsidRPr="002B6EE6">
        <w:rPr>
          <w:rFonts w:asciiTheme="majorHAnsi" w:hAnsiTheme="majorHAnsi"/>
          <w:b/>
          <w:sz w:val="24"/>
          <w:szCs w:val="24"/>
          <w:lang w:val="es-ES"/>
        </w:rPr>
        <w:t>Coordinan el dossier temático</w:t>
      </w:r>
    </w:p>
    <w:p w:rsidR="00D41894" w:rsidRPr="002B6EE6" w:rsidRDefault="00D41894" w:rsidP="00D41894">
      <w:pPr>
        <w:rPr>
          <w:rFonts w:asciiTheme="majorHAnsi" w:hAnsiTheme="majorHAnsi"/>
          <w:b/>
          <w:sz w:val="24"/>
          <w:szCs w:val="24"/>
          <w:lang w:val="es-ES"/>
        </w:rPr>
      </w:pPr>
      <w:r w:rsidRPr="002B6EE6">
        <w:rPr>
          <w:rFonts w:asciiTheme="majorHAnsi" w:hAnsiTheme="majorHAnsi" w:cs="Arial"/>
          <w:b/>
          <w:color w:val="222222"/>
          <w:lang w:val="es-ES"/>
        </w:rPr>
        <w:br/>
      </w:r>
      <w:r w:rsidRPr="002B6EE6">
        <w:rPr>
          <w:rFonts w:asciiTheme="majorHAnsi" w:hAnsiTheme="majorHAnsi" w:cs="Arial"/>
          <w:b/>
          <w:color w:val="222222"/>
          <w:sz w:val="24"/>
          <w:szCs w:val="24"/>
          <w:shd w:val="clear" w:color="auto" w:fill="FFFFFF"/>
          <w:lang w:val="es-ES"/>
        </w:rPr>
        <w:t>Gina Santos, Universidad de Minho</w:t>
      </w:r>
      <w:r w:rsidRPr="002B6EE6">
        <w:rPr>
          <w:rFonts w:asciiTheme="majorHAnsi" w:hAnsiTheme="majorHAnsi" w:cs="Arial"/>
          <w:b/>
          <w:color w:val="222222"/>
          <w:shd w:val="clear" w:color="auto" w:fill="FFFFFF"/>
          <w:lang w:val="es-ES"/>
        </w:rPr>
        <w:t xml:space="preserve"> </w:t>
      </w:r>
      <w:r w:rsidRPr="002B6EE6">
        <w:rPr>
          <w:rFonts w:asciiTheme="majorHAnsi" w:hAnsiTheme="majorHAnsi" w:cs="Arial"/>
          <w:color w:val="222222"/>
          <w:shd w:val="clear" w:color="auto" w:fill="FFFFFF"/>
          <w:lang w:val="es-ES"/>
        </w:rPr>
        <w:t>(gaiogina@eeg.uminho.pt)</w:t>
      </w:r>
    </w:p>
    <w:p w:rsidR="00D41894" w:rsidRPr="002B6EE6" w:rsidRDefault="00D41894" w:rsidP="00D41894">
      <w:pPr>
        <w:rPr>
          <w:rFonts w:asciiTheme="majorHAnsi" w:hAnsiTheme="majorHAnsi" w:cs="Arial"/>
          <w:color w:val="222222"/>
          <w:sz w:val="24"/>
          <w:szCs w:val="24"/>
          <w:shd w:val="clear" w:color="auto" w:fill="FFFFFF"/>
          <w:lang w:val="es-ES"/>
        </w:rPr>
      </w:pPr>
      <w:r w:rsidRPr="002B6EE6">
        <w:rPr>
          <w:rFonts w:asciiTheme="majorHAnsi" w:hAnsiTheme="majorHAnsi" w:cs="Arial"/>
          <w:b/>
          <w:color w:val="222222"/>
          <w:sz w:val="24"/>
          <w:szCs w:val="24"/>
          <w:shd w:val="clear" w:color="auto" w:fill="FFFFFF"/>
          <w:lang w:val="es-ES"/>
        </w:rPr>
        <w:t xml:space="preserve">Teresa Carvalho, Universidad de Aveiro </w:t>
      </w:r>
      <w:r w:rsidRPr="002B6EE6">
        <w:rPr>
          <w:rFonts w:asciiTheme="majorHAnsi" w:hAnsiTheme="majorHAnsi" w:cs="Arial"/>
          <w:color w:val="222222"/>
          <w:sz w:val="24"/>
          <w:szCs w:val="24"/>
          <w:shd w:val="clear" w:color="auto" w:fill="FFFFFF"/>
          <w:lang w:val="es-ES"/>
        </w:rPr>
        <w:t>(</w:t>
      </w:r>
      <w:hyperlink r:id="rId8" w:history="1">
        <w:r w:rsidRPr="002B6EE6">
          <w:rPr>
            <w:rStyle w:val="Hiperligao"/>
            <w:rFonts w:asciiTheme="majorHAnsi" w:hAnsiTheme="majorHAnsi" w:cs="Arial"/>
            <w:sz w:val="24"/>
            <w:szCs w:val="24"/>
            <w:shd w:val="clear" w:color="auto" w:fill="FFFFFF"/>
            <w:lang w:val="es-ES"/>
          </w:rPr>
          <w:t>teresa.carvalho@ua.pt</w:t>
        </w:r>
      </w:hyperlink>
      <w:r w:rsidRPr="002B6EE6">
        <w:rPr>
          <w:rFonts w:asciiTheme="majorHAnsi" w:hAnsiTheme="majorHAnsi" w:cs="Arial"/>
          <w:color w:val="222222"/>
          <w:sz w:val="24"/>
          <w:szCs w:val="24"/>
          <w:shd w:val="clear" w:color="auto" w:fill="FFFFFF"/>
          <w:lang w:val="es-ES"/>
        </w:rPr>
        <w:t>)</w:t>
      </w:r>
    </w:p>
    <w:p w:rsidR="00D41894" w:rsidRPr="002B6EE6" w:rsidRDefault="00D41894" w:rsidP="00D41894">
      <w:pPr>
        <w:jc w:val="both"/>
        <w:rPr>
          <w:rFonts w:asciiTheme="majorHAnsi" w:hAnsiTheme="majorHAnsi" w:cs="Times New Roman"/>
          <w:i/>
          <w:sz w:val="24"/>
          <w:szCs w:val="24"/>
          <w:lang w:val="es-ES"/>
        </w:rPr>
      </w:pPr>
      <w:r w:rsidRPr="002B6EE6">
        <w:rPr>
          <w:rFonts w:asciiTheme="majorHAnsi" w:hAnsiTheme="majorHAnsi" w:cs="Times New Roman"/>
          <w:i/>
          <w:sz w:val="24"/>
          <w:szCs w:val="24"/>
          <w:lang w:val="es-ES"/>
        </w:rPr>
        <w:t>Convocatoria de artículos</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Las profesiones y los grupos profesionales están expuestos en las sociedades contemporáneas a un conjunto de desafíos de diversa índole. En primer lugar, destacan las alteraciones en el papel del Estado en la sociedad, que se aleja crecientemente de una actitud proteccionista, sustituyendo de este modo sus modos tradicionales de regulación. Pero no menos importantes son los efectos de una globalización rampante, traducida en la existencia de un mercado de trabajo cada vez más internacional. Los cambios en la organización social del trabajo </w:t>
      </w:r>
      <w:r w:rsidRPr="002B6EE6">
        <w:rPr>
          <w:rFonts w:asciiTheme="majorHAnsi" w:hAnsiTheme="majorHAnsi" w:cs="Times New Roman"/>
          <w:sz w:val="24"/>
          <w:szCs w:val="24"/>
          <w:lang w:val="es-ES"/>
        </w:rPr>
        <w:lastRenderedPageBreak/>
        <w:t>potenciados por una complejización de la división del trabajo se traducen, por su parte, en la proliferación de nuevas profesiones que resultan en enmarañadas líneas de subalternización y codependencia entre los diferentes grupos. Simultáneamente, el desarrollo y creciente uso de nuevas tecnologías, muchas veces tiene como resultado procesos de descualificación y hasta proletarización de los profesionales (Carvalho, 2012, 2014; Carvalho et al., 2013; Evetts, 2003; Freidon, 2001; Kirkpatrick et al., 2005; Kuhlmann &amp; Saks, 2008).</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A la emergencia de estos procesos también ha contribuido la creciente masificación y feminización de la enseñanza superior. Las reformas introducidas por el proceso de Boloia, en el contexto europeo, a pesar del enfoque de la enseñanza superior en la promoción de la empleabilidad de los/las graduados/as, ha resultado en la desvalorizaicón de las credenciales académicas en el mercado de trabajo, al tiempo que el discurso de la </w:t>
      </w:r>
      <w:r w:rsidR="00BC2912" w:rsidRPr="002B6EE6">
        <w:rPr>
          <w:rFonts w:asciiTheme="majorHAnsi" w:hAnsiTheme="majorHAnsi" w:cs="Times New Roman"/>
          <w:sz w:val="24"/>
          <w:szCs w:val="24"/>
          <w:lang w:val="es-ES"/>
        </w:rPr>
        <w:t>empleabilidad</w:t>
      </w:r>
      <w:r w:rsidRPr="002B6EE6">
        <w:rPr>
          <w:rFonts w:asciiTheme="majorHAnsi" w:hAnsiTheme="majorHAnsi" w:cs="Times New Roman"/>
          <w:sz w:val="24"/>
          <w:szCs w:val="24"/>
          <w:lang w:val="es-ES"/>
        </w:rPr>
        <w:t xml:space="preserve"> continúa ignorando la persistencia de desigualdades de género en una sociedad orientada al </w:t>
      </w:r>
      <w:r w:rsidR="00BC2912" w:rsidRPr="002B6EE6">
        <w:rPr>
          <w:rFonts w:asciiTheme="majorHAnsi" w:hAnsiTheme="majorHAnsi" w:cs="Times New Roman"/>
          <w:sz w:val="24"/>
          <w:szCs w:val="24"/>
          <w:lang w:val="es-ES"/>
        </w:rPr>
        <w:t>conocimiento</w:t>
      </w:r>
      <w:r w:rsidRPr="002B6EE6">
        <w:rPr>
          <w:rFonts w:asciiTheme="majorHAnsi" w:hAnsiTheme="majorHAnsi" w:cs="Times New Roman"/>
          <w:sz w:val="24"/>
          <w:szCs w:val="24"/>
          <w:lang w:val="es-ES"/>
        </w:rPr>
        <w:t>, en la que se enfatiza crecientemente la responsabilidad individual en la autogestión de la carrera y la empleabilidad (Brown, Hesketh, &amp; Williams, 2003; Moreau &amp; Leathwood, 2006).</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Estrictamente ligado a la noción de profesión está también el concepto de carrera. Tradicionalmente el término carrera fue utilizado para describir la progresión lineal dentro de una profesión u organización implicando el aumento de responsabilidades y recompensas a medida que se recorrían la jerarquía organizacional o profesional (Schein, 1971). Sin embargo, las carreras profesionales de las mujeres siempre tuvieron especificidades y asumieron un desarrollo más fragmentado y menos lineal, siendo frecuentemente descritas en la literatura como más diversificadas y multipolares que las carreras masculinas (Guest &amp; Sturges, 2007; Roberts, 2008). </w:t>
      </w:r>
      <w:r w:rsidR="00BC2912" w:rsidRPr="002B6EE6">
        <w:rPr>
          <w:rFonts w:asciiTheme="majorHAnsi" w:hAnsiTheme="majorHAnsi" w:cs="Times New Roman"/>
          <w:sz w:val="24"/>
          <w:szCs w:val="24"/>
          <w:lang w:val="es-ES"/>
        </w:rPr>
        <w:t>Tradicionalmente</w:t>
      </w:r>
      <w:r w:rsidRPr="002B6EE6">
        <w:rPr>
          <w:rFonts w:asciiTheme="majorHAnsi" w:hAnsiTheme="majorHAnsi" w:cs="Times New Roman"/>
          <w:sz w:val="24"/>
          <w:szCs w:val="24"/>
          <w:lang w:val="es-ES"/>
        </w:rPr>
        <w:t>, a pesar de todas las transformaciones de las últimas décadas, la gestión de la esfera familiar y personal continúa siendo una responsabilidad esencialmente de la mujer, aún en carreras profesionales muy exigentes, como es el caso de la profesión académica (Santos, 2015).  Sin embargo,  la creciente participación de las mujeres en el mundo de las profesiones, y en particular en aquellas altamente cualificadas, ha sido objeto de escasa investigación en lo que respecta a las alteraciones de los patrones de carrera, en particular en lo que se refiere a la influencia de los factores contextuales y culturales en las elecciones y recorridos de carrera profesional de las mujeres (Evetts, 2000; Mayrhofer, Meyer &amp; Steyrer; 2007).</w:t>
      </w:r>
    </w:p>
    <w:p w:rsidR="00D41894" w:rsidRPr="002B6EE6" w:rsidRDefault="00D41894" w:rsidP="00D41894">
      <w:pPr>
        <w:jc w:val="both"/>
        <w:rPr>
          <w:rFonts w:asciiTheme="majorHAnsi" w:hAnsiTheme="majorHAnsi" w:cs="Times New Roman"/>
          <w:i/>
          <w:sz w:val="24"/>
          <w:szCs w:val="24"/>
          <w:lang w:val="es-ES"/>
        </w:rPr>
      </w:pPr>
      <w:r w:rsidRPr="002B6EE6">
        <w:rPr>
          <w:rFonts w:asciiTheme="majorHAnsi" w:hAnsiTheme="majorHAnsi" w:cs="Times New Roman"/>
          <w:sz w:val="24"/>
          <w:szCs w:val="24"/>
          <w:lang w:val="es-ES"/>
        </w:rPr>
        <w:t xml:space="preserve">Esta convocatoria a artículos invita a la presentación de trabajos de base empírica, con datos nacionales o internacionales o comparativos entre diferentes contextos culturales, y que utilicen un encuadramiento teórico de naturaleza </w:t>
      </w:r>
      <w:r w:rsidR="00BC2912" w:rsidRPr="002B6EE6">
        <w:rPr>
          <w:rFonts w:asciiTheme="majorHAnsi" w:hAnsiTheme="majorHAnsi" w:cs="Times New Roman"/>
          <w:sz w:val="24"/>
          <w:szCs w:val="24"/>
          <w:lang w:val="es-ES"/>
        </w:rPr>
        <w:t>multidisciplinar</w:t>
      </w:r>
      <w:r w:rsidRPr="002B6EE6">
        <w:rPr>
          <w:rFonts w:asciiTheme="majorHAnsi" w:hAnsiTheme="majorHAnsi" w:cs="Times New Roman"/>
          <w:sz w:val="24"/>
          <w:szCs w:val="24"/>
          <w:lang w:val="es-ES"/>
        </w:rPr>
        <w:t xml:space="preserve"> (ej. Gestión, economía, psicología, sociología, entre otras áreas disciplinares). Con la publicación de este número, e</w:t>
      </w:r>
      <w:r w:rsidRPr="002B6EE6">
        <w:rPr>
          <w:rFonts w:asciiTheme="majorHAnsi" w:hAnsiTheme="majorHAnsi" w:cs="Times New Roman"/>
          <w:i/>
          <w:sz w:val="24"/>
          <w:szCs w:val="24"/>
          <w:lang w:val="es-ES"/>
        </w:rPr>
        <w:t xml:space="preserve">x æquo </w:t>
      </w:r>
      <w:r w:rsidRPr="002B6EE6">
        <w:rPr>
          <w:rFonts w:asciiTheme="majorHAnsi" w:hAnsiTheme="majorHAnsi" w:cs="Times New Roman"/>
          <w:sz w:val="24"/>
          <w:szCs w:val="24"/>
          <w:lang w:val="es-ES"/>
        </w:rPr>
        <w:t>se propone abordar la escasez de abordajes, o profundizar en las discusiones iniciadas, centradas en la reflexión sobre el modo en que el género puede contribuir a la explicación del modo en que las profesiones reaccionan frente a los cambios que les son impuestos desde el exterior.</w:t>
      </w:r>
      <w:r w:rsidRPr="002B6EE6">
        <w:rPr>
          <w:rFonts w:asciiTheme="majorHAnsi" w:hAnsiTheme="majorHAnsi" w:cs="Times New Roman"/>
          <w:i/>
          <w:sz w:val="24"/>
          <w:szCs w:val="24"/>
          <w:lang w:val="es-ES"/>
        </w:rPr>
        <w:t xml:space="preserve"> </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lastRenderedPageBreak/>
        <w:t xml:space="preserve">Las siguientes cuestiones son indicativas de los tópicos que podrán ser considerados para este número temático, no asumiendo un carácter exhaustivo: </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-A una creciente feminización de la enseñanza superior le ha correspondido, en todo el mundo, una creciente feminización de la profesión médica. ¿Qué alteraciones podemos esperar en el reconocimiento material y simbólico atribuido a la profesión, así como en las relaciones de poder entre los profesionales de ambos sexos? ¿Qué desigualdades de género permanecen entre las varias categorías de profesionales en un determinado campo profesional (salud, enseñanza, entre otras)?</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-Actualmente, asistimos también al aumento del desempleo en profesiones altamente cualificadas como los/as arquitectos o los/las enfermeros/as (por nombrar apenas algunas). Frente a esto, ¿existen diferencias de género en la forma en </w:t>
      </w:r>
      <w:r w:rsidR="00BC2912" w:rsidRPr="002B6EE6">
        <w:rPr>
          <w:rFonts w:asciiTheme="majorHAnsi" w:hAnsiTheme="majorHAnsi" w:cs="Times New Roman"/>
          <w:sz w:val="24"/>
          <w:szCs w:val="24"/>
          <w:lang w:val="es-ES"/>
        </w:rPr>
        <w:t>cómo</w:t>
      </w:r>
      <w:r w:rsidRPr="002B6EE6">
        <w:rPr>
          <w:rFonts w:asciiTheme="majorHAnsi" w:hAnsiTheme="majorHAnsi" w:cs="Times New Roman"/>
          <w:sz w:val="24"/>
          <w:szCs w:val="24"/>
          <w:lang w:val="es-ES"/>
        </w:rPr>
        <w:t xml:space="preserve"> se procesa el acceso al mercado de trabajo? ¿Qué factores podrán afectar diferencialmente a hombres y mujeres?</w:t>
      </w:r>
    </w:p>
    <w:p w:rsidR="00D41894" w:rsidRPr="00D41894"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-La “carrera sin fronteras” (Arthur, 1994) constituye un nuevo modelo que abandona definitivamente la idea de carrera delimitada por fronteras organizacionales y que abraza el concepto de autogestión de carrera. ¿Qué diferencias de género podemos encontrar en la adopción de estos nuevos modelos de carrera? ¿Estarán las mujeres encaminándose hacia el </w:t>
      </w:r>
      <w:r w:rsidR="00BC2912" w:rsidRPr="002B6EE6">
        <w:rPr>
          <w:rFonts w:asciiTheme="majorHAnsi" w:hAnsiTheme="majorHAnsi" w:cs="Times New Roman"/>
          <w:sz w:val="24"/>
          <w:szCs w:val="24"/>
          <w:lang w:val="es-ES"/>
        </w:rPr>
        <w:t>autoempleo</w:t>
      </w:r>
      <w:r w:rsidRPr="002B6EE6">
        <w:rPr>
          <w:rFonts w:asciiTheme="majorHAnsi" w:hAnsiTheme="majorHAnsi" w:cs="Times New Roman"/>
          <w:sz w:val="24"/>
          <w:szCs w:val="24"/>
          <w:lang w:val="es-ES"/>
        </w:rPr>
        <w:t xml:space="preserve"> como estrategia de carrera y como forma de conseguir un mayor equilibrio entre trabajo y vida extra-laboral? </w:t>
      </w:r>
      <w:r w:rsidRPr="00D41894">
        <w:rPr>
          <w:rFonts w:asciiTheme="majorHAnsi" w:hAnsiTheme="majorHAnsi" w:cs="Times New Roman"/>
          <w:sz w:val="24"/>
          <w:szCs w:val="24"/>
          <w:lang w:val="es-ES"/>
        </w:rPr>
        <w:t xml:space="preserve">¿Qué desafíos y </w:t>
      </w:r>
      <w:r w:rsidR="00BC2912" w:rsidRPr="00D41894">
        <w:rPr>
          <w:rFonts w:asciiTheme="majorHAnsi" w:hAnsiTheme="majorHAnsi" w:cs="Times New Roman"/>
          <w:sz w:val="24"/>
          <w:szCs w:val="24"/>
          <w:lang w:val="es-ES"/>
        </w:rPr>
        <w:t>constreñimientos</w:t>
      </w:r>
      <w:r w:rsidRPr="00D41894">
        <w:rPr>
          <w:rFonts w:asciiTheme="majorHAnsi" w:hAnsiTheme="majorHAnsi" w:cs="Times New Roman"/>
          <w:sz w:val="24"/>
          <w:szCs w:val="24"/>
          <w:lang w:val="es-ES"/>
        </w:rPr>
        <w:t xml:space="preserve"> enfrentan en el autoempleo?</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-Paralelamente, de qué modo las nuevas tecnologías de la información resultan en reconfiguraciones en los modos de organización del trabajo y de gestión del tiempo/espacio profesional, y cómo esto ha afectado a la gestión entre las fronteras laborales y extralaborales de los/as profesionales, particularmente en profesiones ligadas a la economía del conocimiento, como es el caso de arquitectos/as; médicos/as; enfermeros/as; gestores/as; profesionales de diversas áreas de los servicios de la economía social; cientistas/académicos; funcionarios/as públicos/as; periodistas; magistrados/as; abogados/as; entre otros grupos profesionales. </w:t>
      </w:r>
    </w:p>
    <w:p w:rsidR="00D41894" w:rsidRPr="002B6EE6" w:rsidRDefault="00D41894" w:rsidP="00D41894">
      <w:pPr>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 xml:space="preserve">-¿Cómo la lógica de la nueva gestión pública, aplicada a sectores como la salud o la enseñanza superior  ha afectado a los resultados y a las perspectivas de desarrollo de carrera de hombres y mujeres en organizaciones profesionales como hospitales o universidades? En </w:t>
      </w:r>
      <w:r w:rsidR="00BC2912" w:rsidRPr="002B6EE6">
        <w:rPr>
          <w:rFonts w:asciiTheme="majorHAnsi" w:hAnsiTheme="majorHAnsi" w:cs="Times New Roman"/>
          <w:sz w:val="24"/>
          <w:szCs w:val="24"/>
          <w:lang w:val="es-ES"/>
        </w:rPr>
        <w:t>esta</w:t>
      </w:r>
      <w:r w:rsidRPr="002B6EE6">
        <w:rPr>
          <w:rFonts w:asciiTheme="majorHAnsi" w:hAnsiTheme="majorHAnsi" w:cs="Times New Roman"/>
          <w:sz w:val="24"/>
          <w:szCs w:val="24"/>
          <w:lang w:val="es-ES"/>
        </w:rPr>
        <w:t xml:space="preserve"> materia, ¿cómo se han procesado las transiciones de carrera dentro de estos sectores? ¿Existe movilidad interna o externa? ¿Qué estrategias de resistencia están siendo utilizadas por los/las profesionales?</w:t>
      </w:r>
    </w:p>
    <w:p w:rsidR="00D41894" w:rsidRPr="00BC2912" w:rsidRDefault="00D41894" w:rsidP="00D41894">
      <w:pPr>
        <w:jc w:val="both"/>
        <w:rPr>
          <w:rFonts w:asciiTheme="majorHAnsi" w:hAnsiTheme="majorHAnsi" w:cs="Times New Roman"/>
          <w:sz w:val="24"/>
          <w:szCs w:val="24"/>
          <w:lang w:val="es-ES"/>
        </w:rPr>
        <w:sectPr w:rsidR="00D41894" w:rsidRPr="00BC2912" w:rsidSect="00D41894">
          <w:footerReference w:type="default" r:id="rId9"/>
          <w:pgSz w:w="11906" w:h="16838"/>
          <w:pgMar w:top="1440" w:right="1440" w:bottom="1440" w:left="1440" w:header="708" w:footer="708" w:gutter="0"/>
          <w:cols w:space="708"/>
          <w:docGrid w:linePitch="360"/>
        </w:sectPr>
      </w:pPr>
      <w:r w:rsidRPr="002B6EE6">
        <w:rPr>
          <w:rFonts w:asciiTheme="majorHAnsi" w:hAnsiTheme="majorHAnsi" w:cs="Times New Roman"/>
          <w:sz w:val="24"/>
          <w:szCs w:val="24"/>
          <w:lang w:val="es-ES"/>
        </w:rPr>
        <w:t xml:space="preserve">Se asume un abordaje genérico de la profesión (que no se restringe a las que poseen cualificaciones académicas). </w:t>
      </w:r>
      <w:r w:rsidRPr="00BC2912">
        <w:rPr>
          <w:rFonts w:asciiTheme="majorHAnsi" w:hAnsiTheme="majorHAnsi" w:cs="Times New Roman"/>
          <w:sz w:val="24"/>
          <w:szCs w:val="24"/>
          <w:lang w:val="es-ES"/>
        </w:rPr>
        <w:t>Posibles</w:t>
      </w:r>
      <w:r w:rsidRPr="004078D2">
        <w:rPr>
          <w:rFonts w:asciiTheme="majorHAnsi" w:hAnsiTheme="majorHAnsi" w:cs="Times New Roman"/>
          <w:sz w:val="24"/>
          <w:szCs w:val="24"/>
          <w:lang w:val="pt-PT"/>
        </w:rPr>
        <w:t xml:space="preserve"> </w:t>
      </w:r>
      <w:r w:rsidRPr="00BC2912">
        <w:rPr>
          <w:rFonts w:asciiTheme="majorHAnsi" w:hAnsiTheme="majorHAnsi" w:cs="Times New Roman"/>
          <w:sz w:val="24"/>
          <w:szCs w:val="24"/>
          <w:lang w:val="es-ES"/>
        </w:rPr>
        <w:t>grupos profesionales a analizar, incluyen, entre otros:</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lastRenderedPageBreak/>
        <w:t xml:space="preserve">- arquitectos/as, </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peluqueros/as</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xml:space="preserve">- médicos/as, </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xml:space="preserve">- cientistas/as académicos/as, </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xml:space="preserve">- enfermeras/os, </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xml:space="preserve">- funcionarios/as públicos/as </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farmacéuticos/as</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xml:space="preserve">- </w:t>
      </w:r>
      <w:r w:rsidR="00BC2912" w:rsidRPr="00BC2912">
        <w:rPr>
          <w:rFonts w:asciiTheme="majorHAnsi" w:hAnsiTheme="majorHAnsi" w:cs="Times New Roman"/>
          <w:sz w:val="24"/>
          <w:szCs w:val="24"/>
          <w:lang w:val="es-ES"/>
        </w:rPr>
        <w:t>periodistas</w:t>
      </w:r>
      <w:r w:rsidRPr="00BC2912">
        <w:rPr>
          <w:rFonts w:asciiTheme="majorHAnsi" w:hAnsiTheme="majorHAnsi" w:cs="Times New Roman"/>
          <w:sz w:val="24"/>
          <w:szCs w:val="24"/>
          <w:lang w:val="es-ES"/>
        </w:rPr>
        <w:t xml:space="preserve">, </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empleadas/os domésticas/os,</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xml:space="preserve"> - magistrados/as,</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xml:space="preserve">- abogados/as </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contables</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informáticos/as</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trabajadores/as de call centers</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ingenieros/as</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militares</w:t>
      </w:r>
    </w:p>
    <w:p w:rsidR="00D41894" w:rsidRPr="00BC2912" w:rsidRDefault="00D41894" w:rsidP="00D41894">
      <w:pPr>
        <w:spacing w:after="120"/>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xml:space="preserve">- administrativos/as </w:t>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r>
      <w:r w:rsidRPr="00BC2912">
        <w:rPr>
          <w:rFonts w:asciiTheme="majorHAnsi" w:hAnsiTheme="majorHAnsi" w:cs="Times New Roman"/>
          <w:sz w:val="24"/>
          <w:szCs w:val="24"/>
          <w:lang w:val="es-ES"/>
        </w:rPr>
        <w:tab/>
        <w:t>- técnicos/as de varias áreas profesionales</w:t>
      </w:r>
    </w:p>
    <w:p w:rsidR="00D41894" w:rsidRPr="00BC2912" w:rsidRDefault="00D41894" w:rsidP="00D41894">
      <w:pPr>
        <w:jc w:val="both"/>
        <w:rPr>
          <w:rFonts w:ascii="Cambria" w:eastAsia="Times New Roman" w:hAnsi="Cambria" w:cs="Calibri"/>
          <w:lang w:val="es-ES"/>
        </w:rPr>
      </w:pPr>
    </w:p>
    <w:p w:rsidR="00D41894" w:rsidRPr="00BC2912" w:rsidRDefault="00D41894" w:rsidP="00D41894">
      <w:pPr>
        <w:jc w:val="both"/>
        <w:rPr>
          <w:rFonts w:ascii="Cambria" w:eastAsia="Times New Roman" w:hAnsi="Cambria" w:cs="Calibri"/>
          <w:lang w:val="es-ES"/>
        </w:rPr>
      </w:pPr>
      <w:r w:rsidRPr="00BC2912">
        <w:rPr>
          <w:rFonts w:ascii="Cambria" w:eastAsia="Times New Roman" w:hAnsi="Cambria" w:cs="Calibri"/>
          <w:lang w:val="es-ES"/>
        </w:rPr>
        <w:t xml:space="preserve">Plazo de envío: </w:t>
      </w:r>
    </w:p>
    <w:p w:rsidR="00D41894" w:rsidRPr="00BC2912" w:rsidRDefault="00D41894" w:rsidP="00D41894">
      <w:pPr>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 xml:space="preserve">El envío de los artículos deberá realizarse con escrupuloso cumplimiento de las normas presentadas en </w:t>
      </w:r>
      <w:hyperlink r:id="rId10" w:tgtFrame="_blank" w:history="1">
        <w:r w:rsidRPr="00BC2912">
          <w:rPr>
            <w:rFonts w:asciiTheme="majorHAnsi" w:hAnsiTheme="majorHAnsi" w:cs="Times New Roman"/>
            <w:sz w:val="24"/>
            <w:szCs w:val="24"/>
            <w:lang w:val="es-ES"/>
          </w:rPr>
          <w:t>http://www.apem-estudos.org/en/page/apresentacao-da-revista</w:t>
        </w:r>
      </w:hyperlink>
      <w:r w:rsidRPr="00BC2912">
        <w:rPr>
          <w:rFonts w:asciiTheme="majorHAnsi" w:hAnsiTheme="majorHAnsi" w:cs="Times New Roman"/>
          <w:sz w:val="24"/>
          <w:szCs w:val="24"/>
          <w:lang w:val="es-ES"/>
        </w:rPr>
        <w:t xml:space="preserve">, hasta el </w:t>
      </w:r>
      <w:r w:rsidRPr="00BC2912">
        <w:rPr>
          <w:rFonts w:asciiTheme="majorHAnsi" w:hAnsiTheme="majorHAnsi" w:cs="Times New Roman"/>
          <w:b/>
          <w:sz w:val="24"/>
          <w:szCs w:val="24"/>
          <w:lang w:val="es-ES"/>
        </w:rPr>
        <w:t>30 de septiembre de 2015</w:t>
      </w:r>
      <w:r w:rsidRPr="00BC2912">
        <w:rPr>
          <w:rFonts w:asciiTheme="majorHAnsi" w:hAnsiTheme="majorHAnsi" w:cs="Times New Roman"/>
          <w:sz w:val="24"/>
          <w:szCs w:val="24"/>
          <w:lang w:val="es-ES"/>
        </w:rPr>
        <w:t>, a la atención de Gina Santos (Universidad de Minho) y Teresa Carvalho (Universidad de Aveiro) a la dirección (</w:t>
      </w:r>
      <w:hyperlink r:id="rId11" w:history="1">
        <w:r w:rsidRPr="00BC2912">
          <w:rPr>
            <w:rFonts w:asciiTheme="majorHAnsi" w:hAnsiTheme="majorHAnsi" w:cs="Times New Roman"/>
            <w:sz w:val="24"/>
            <w:szCs w:val="24"/>
            <w:lang w:val="es-ES"/>
          </w:rPr>
          <w:t>apem1991@gmail.com</w:t>
        </w:r>
      </w:hyperlink>
      <w:r w:rsidRPr="00BC2912">
        <w:rPr>
          <w:rFonts w:asciiTheme="majorHAnsi" w:hAnsiTheme="majorHAnsi" w:cs="Times New Roman"/>
          <w:sz w:val="24"/>
          <w:szCs w:val="24"/>
          <w:lang w:val="es-ES"/>
        </w:rPr>
        <w:t>), responsables de este dossier temático.</w:t>
      </w:r>
    </w:p>
    <w:p w:rsidR="00D41894" w:rsidRPr="00BC2912" w:rsidRDefault="00D41894" w:rsidP="00D41894">
      <w:pPr>
        <w:jc w:val="both"/>
        <w:rPr>
          <w:rFonts w:asciiTheme="majorHAnsi" w:hAnsiTheme="majorHAnsi" w:cs="Times New Roman"/>
          <w:sz w:val="24"/>
          <w:szCs w:val="24"/>
          <w:lang w:val="es-ES"/>
        </w:rPr>
      </w:pPr>
      <w:r w:rsidRPr="00BC2912">
        <w:rPr>
          <w:rFonts w:asciiTheme="majorHAnsi" w:hAnsiTheme="majorHAnsi" w:cs="Times New Roman"/>
          <w:sz w:val="24"/>
          <w:szCs w:val="24"/>
          <w:lang w:val="es-ES"/>
        </w:rPr>
        <w:t>Los textos que no respeten las normas en cuanto a extensión, formato, y al modo de citar y referenciar fuentes bibliográficas serán excluidos en una primera selección antes de ser sometidos a arbitraje. En el plazo de cuatro semanas luego de la fecha límite de recepción, las/los autoras/es recibirán información sobre los resultados de la primera selección y el paso a la siguiente etapa, es decir, al envío para una revisión por pares (peer review) del texto. La fecha prevista para la publicación de este número especial es abril de 2016.</w:t>
      </w:r>
    </w:p>
    <w:p w:rsidR="00D41894" w:rsidRPr="00A00A90" w:rsidRDefault="00D41894" w:rsidP="00D41894">
      <w:pPr>
        <w:spacing w:before="120" w:after="120" w:line="360" w:lineRule="auto"/>
        <w:ind w:left="900" w:hanging="900"/>
        <w:jc w:val="both"/>
        <w:rPr>
          <w:rFonts w:asciiTheme="majorHAnsi" w:hAnsiTheme="majorHAnsi" w:cs="Times New Roman"/>
          <w:b/>
          <w:sz w:val="24"/>
          <w:szCs w:val="24"/>
          <w:lang w:val="en-US"/>
        </w:rPr>
      </w:pPr>
      <w:proofErr w:type="spellStart"/>
      <w:r>
        <w:rPr>
          <w:rFonts w:asciiTheme="majorHAnsi" w:hAnsiTheme="majorHAnsi" w:cs="Times New Roman"/>
          <w:b/>
          <w:sz w:val="24"/>
          <w:szCs w:val="24"/>
          <w:lang w:val="en-US"/>
        </w:rPr>
        <w:t>Referencias</w:t>
      </w:r>
      <w:proofErr w:type="spellEnd"/>
      <w:r>
        <w:rPr>
          <w:rFonts w:asciiTheme="majorHAnsi" w:hAnsiTheme="majorHAnsi" w:cs="Times New Roman"/>
          <w:b/>
          <w:sz w:val="24"/>
          <w:szCs w:val="24"/>
          <w:lang w:val="en-US"/>
        </w:rPr>
        <w:t xml:space="preserve"> </w:t>
      </w:r>
      <w:proofErr w:type="spellStart"/>
      <w:r>
        <w:rPr>
          <w:rFonts w:asciiTheme="majorHAnsi" w:hAnsiTheme="majorHAnsi" w:cs="Times New Roman"/>
          <w:b/>
          <w:sz w:val="24"/>
          <w:szCs w:val="24"/>
          <w:lang w:val="en-US"/>
        </w:rPr>
        <w:t>bibliográficas</w:t>
      </w:r>
      <w:proofErr w:type="spellEnd"/>
    </w:p>
    <w:p w:rsidR="00D41894" w:rsidRPr="00A00A90" w:rsidRDefault="00D41894" w:rsidP="00D41894">
      <w:pPr>
        <w:pStyle w:val="Corpodetexto2"/>
        <w:spacing w:line="276" w:lineRule="auto"/>
        <w:ind w:left="567" w:hanging="567"/>
        <w:jc w:val="both"/>
        <w:rPr>
          <w:rFonts w:asciiTheme="majorHAnsi" w:hAnsiTheme="majorHAnsi"/>
          <w:i w:val="0"/>
          <w:sz w:val="24"/>
          <w:szCs w:val="24"/>
          <w:lang w:val="en-GB"/>
        </w:rPr>
      </w:pPr>
      <w:r w:rsidRPr="00A00A90">
        <w:rPr>
          <w:rFonts w:asciiTheme="majorHAnsi" w:hAnsiTheme="majorHAnsi"/>
          <w:i w:val="0"/>
          <w:sz w:val="24"/>
          <w:szCs w:val="24"/>
          <w:lang w:val="en-GB"/>
        </w:rPr>
        <w:t xml:space="preserve">Arthur, Michael (1994), “The </w:t>
      </w:r>
      <w:proofErr w:type="spellStart"/>
      <w:r w:rsidRPr="00A00A90">
        <w:rPr>
          <w:rFonts w:asciiTheme="majorHAnsi" w:hAnsiTheme="majorHAnsi"/>
          <w:i w:val="0"/>
          <w:sz w:val="24"/>
          <w:szCs w:val="24"/>
          <w:lang w:val="en-GB"/>
        </w:rPr>
        <w:t>boundaryless</w:t>
      </w:r>
      <w:proofErr w:type="spellEnd"/>
      <w:r w:rsidRPr="00A00A90">
        <w:rPr>
          <w:rFonts w:asciiTheme="majorHAnsi" w:hAnsiTheme="majorHAnsi"/>
          <w:i w:val="0"/>
          <w:sz w:val="24"/>
          <w:szCs w:val="24"/>
          <w:lang w:val="en-GB"/>
        </w:rPr>
        <w:t xml:space="preserve"> career: A new perspective for organizational inquiry”</w:t>
      </w:r>
      <w:r w:rsidR="00A36565">
        <w:rPr>
          <w:rFonts w:asciiTheme="majorHAnsi" w:hAnsiTheme="majorHAnsi"/>
          <w:i w:val="0"/>
          <w:sz w:val="24"/>
          <w:szCs w:val="24"/>
          <w:lang w:val="en-GB"/>
        </w:rPr>
        <w:t>,</w:t>
      </w:r>
      <w:r w:rsidRPr="00A00A90">
        <w:rPr>
          <w:rFonts w:asciiTheme="majorHAnsi" w:hAnsiTheme="majorHAnsi"/>
          <w:i w:val="0"/>
          <w:sz w:val="24"/>
          <w:szCs w:val="24"/>
          <w:lang w:val="en-GB"/>
        </w:rPr>
        <w:t xml:space="preserve"> </w:t>
      </w:r>
      <w:r w:rsidRPr="00A00A90">
        <w:rPr>
          <w:rFonts w:asciiTheme="majorHAnsi" w:hAnsiTheme="majorHAnsi"/>
          <w:sz w:val="24"/>
          <w:szCs w:val="24"/>
          <w:lang w:val="en-GB"/>
        </w:rPr>
        <w:t xml:space="preserve">Journal of Organizational </w:t>
      </w:r>
      <w:proofErr w:type="spellStart"/>
      <w:r w:rsidRPr="00A00A90">
        <w:rPr>
          <w:rFonts w:asciiTheme="majorHAnsi" w:hAnsiTheme="majorHAnsi"/>
          <w:sz w:val="24"/>
          <w:szCs w:val="24"/>
          <w:lang w:val="en-GB"/>
        </w:rPr>
        <w:t>Behavior</w:t>
      </w:r>
      <w:proofErr w:type="spellEnd"/>
      <w:r w:rsidRPr="00A00A90">
        <w:rPr>
          <w:rFonts w:asciiTheme="majorHAnsi" w:hAnsiTheme="majorHAnsi"/>
          <w:i w:val="0"/>
          <w:sz w:val="24"/>
          <w:szCs w:val="24"/>
          <w:lang w:val="en-GB"/>
        </w:rPr>
        <w:t>, 15</w:t>
      </w:r>
      <w:r w:rsidR="00A36565">
        <w:rPr>
          <w:rFonts w:asciiTheme="majorHAnsi" w:hAnsiTheme="majorHAnsi"/>
          <w:i w:val="0"/>
          <w:sz w:val="24"/>
          <w:szCs w:val="24"/>
          <w:lang w:val="en-GB"/>
        </w:rPr>
        <w:t>,</w:t>
      </w:r>
      <w:r w:rsidRPr="00A00A90">
        <w:rPr>
          <w:rFonts w:asciiTheme="majorHAnsi" w:hAnsiTheme="majorHAnsi"/>
          <w:i w:val="0"/>
          <w:sz w:val="24"/>
          <w:szCs w:val="24"/>
          <w:lang w:val="en-GB"/>
        </w:rPr>
        <w:t xml:space="preserve"> 295-306.</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r w:rsidRPr="00A00A90">
        <w:rPr>
          <w:rFonts w:asciiTheme="majorHAnsi" w:hAnsiTheme="majorHAnsi" w:cs="Times New Roman"/>
          <w:sz w:val="24"/>
          <w:szCs w:val="24"/>
        </w:rPr>
        <w:t>Brown, Phillip</w:t>
      </w:r>
      <w:r w:rsidR="00A36565">
        <w:rPr>
          <w:rFonts w:asciiTheme="majorHAnsi" w:hAnsiTheme="majorHAnsi" w:cs="Times New Roman"/>
          <w:sz w:val="24"/>
          <w:szCs w:val="24"/>
        </w:rPr>
        <w:t>; Hesketh, Anthony;</w:t>
      </w:r>
      <w:r w:rsidRPr="00A00A90">
        <w:rPr>
          <w:rFonts w:asciiTheme="majorHAnsi" w:hAnsiTheme="majorHAnsi" w:cs="Times New Roman"/>
          <w:sz w:val="24"/>
          <w:szCs w:val="24"/>
        </w:rPr>
        <w:t xml:space="preserve"> Williams, Sara (2003), “Employability in a knowledge-driven economy”</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Journal of Education and Work,</w:t>
      </w:r>
      <w:r w:rsidRPr="00A00A90">
        <w:rPr>
          <w:rFonts w:asciiTheme="majorHAnsi" w:hAnsiTheme="majorHAnsi" w:cs="Times New Roman"/>
          <w:sz w:val="24"/>
          <w:szCs w:val="24"/>
        </w:rPr>
        <w:t xml:space="preserve"> 16</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107-126.</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lang w:bidi="hi-IN"/>
        </w:rPr>
      </w:pPr>
      <w:proofErr w:type="spellStart"/>
      <w:r w:rsidRPr="00A00A90">
        <w:rPr>
          <w:rFonts w:asciiTheme="majorHAnsi" w:hAnsiTheme="majorHAnsi" w:cs="Times New Roman"/>
          <w:sz w:val="24"/>
          <w:szCs w:val="24"/>
        </w:rPr>
        <w:t>Carvalho</w:t>
      </w:r>
      <w:proofErr w:type="spellEnd"/>
      <w:r w:rsidRPr="00A00A90">
        <w:rPr>
          <w:rFonts w:asciiTheme="majorHAnsi" w:hAnsiTheme="majorHAnsi" w:cs="Times New Roman"/>
          <w:sz w:val="24"/>
          <w:szCs w:val="24"/>
        </w:rPr>
        <w:t>, Teresa (2012), “</w:t>
      </w:r>
      <w:proofErr w:type="spellStart"/>
      <w:r w:rsidRPr="00A00A90">
        <w:rPr>
          <w:rFonts w:asciiTheme="majorHAnsi" w:hAnsiTheme="majorHAnsi" w:cs="Times New Roman"/>
          <w:sz w:val="24"/>
          <w:szCs w:val="24"/>
        </w:rPr>
        <w:t>Managerialism</w:t>
      </w:r>
      <w:proofErr w:type="spellEnd"/>
      <w:r w:rsidRPr="00A00A90">
        <w:rPr>
          <w:rFonts w:asciiTheme="majorHAnsi" w:hAnsiTheme="majorHAnsi" w:cs="Times New Roman"/>
          <w:sz w:val="24"/>
          <w:szCs w:val="24"/>
        </w:rPr>
        <w:t xml:space="preserve"> and professional strategies: A case from nurses in Portugal</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Journal of Health, Organization and Management</w:t>
      </w:r>
      <w:r w:rsidRPr="00A00A90">
        <w:rPr>
          <w:rFonts w:asciiTheme="majorHAnsi" w:hAnsiTheme="majorHAnsi" w:cs="Times New Roman"/>
          <w:sz w:val="24"/>
          <w:szCs w:val="24"/>
        </w:rPr>
        <w:t>, 26, 4</w:t>
      </w:r>
      <w:r w:rsidR="00A36565">
        <w:rPr>
          <w:rFonts w:asciiTheme="majorHAnsi" w:hAnsiTheme="majorHAnsi" w:cs="Times New Roman"/>
          <w:sz w:val="24"/>
          <w:szCs w:val="24"/>
        </w:rPr>
        <w:t>,</w:t>
      </w:r>
      <w:r w:rsidRPr="00A00A90">
        <w:rPr>
          <w:rFonts w:asciiTheme="majorHAnsi" w:hAnsiTheme="majorHAnsi" w:cs="Times New Roman"/>
          <w:sz w:val="24"/>
          <w:szCs w:val="24"/>
          <w:lang w:bidi="hi-IN"/>
        </w:rPr>
        <w:t xml:space="preserve"> 524 – 541.</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Carvalho</w:t>
      </w:r>
      <w:proofErr w:type="spellEnd"/>
      <w:r w:rsidRPr="00A00A90">
        <w:rPr>
          <w:rFonts w:asciiTheme="majorHAnsi" w:hAnsiTheme="majorHAnsi" w:cs="Times New Roman"/>
          <w:sz w:val="24"/>
          <w:szCs w:val="24"/>
        </w:rPr>
        <w:t>, Teresa</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Ozkanli</w:t>
      </w:r>
      <w:proofErr w:type="spellEnd"/>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Ozlem</w:t>
      </w:r>
      <w:proofErr w:type="spellEnd"/>
      <w:r w:rsidR="00A36565">
        <w:rPr>
          <w:rFonts w:asciiTheme="majorHAnsi" w:hAnsiTheme="majorHAnsi" w:cs="Times New Roman"/>
          <w:sz w:val="24"/>
          <w:szCs w:val="24"/>
        </w:rPr>
        <w:t>; Peterson, Helen;</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Prozesky</w:t>
      </w:r>
      <w:proofErr w:type="spellEnd"/>
      <w:r w:rsidRPr="00A00A90">
        <w:rPr>
          <w:rFonts w:asciiTheme="majorHAnsi" w:hAnsiTheme="majorHAnsi" w:cs="Times New Roman"/>
          <w:sz w:val="24"/>
          <w:szCs w:val="24"/>
        </w:rPr>
        <w:t>, Helen (</w:t>
      </w:r>
      <w:r w:rsidRPr="00A00A90">
        <w:rPr>
          <w:rFonts w:asciiTheme="majorHAnsi" w:hAnsiTheme="majorHAnsi" w:cs="Times New Roman"/>
          <w:iCs/>
          <w:sz w:val="24"/>
          <w:szCs w:val="24"/>
        </w:rPr>
        <w:t>2013</w:t>
      </w:r>
      <w:r w:rsidRPr="00A00A90">
        <w:rPr>
          <w:rFonts w:asciiTheme="majorHAnsi" w:hAnsiTheme="majorHAnsi" w:cs="Times New Roman"/>
          <w:sz w:val="24"/>
          <w:szCs w:val="24"/>
        </w:rPr>
        <w:t>) “Building academic careers”</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00A36565" w:rsidRPr="00A36565">
        <w:rPr>
          <w:rFonts w:asciiTheme="majorHAnsi" w:hAnsiTheme="majorHAnsi" w:cs="Times New Roman"/>
          <w:i/>
          <w:sz w:val="24"/>
          <w:szCs w:val="24"/>
        </w:rPr>
        <w:t>in</w:t>
      </w:r>
      <w:r w:rsidRPr="00A00A90">
        <w:rPr>
          <w:rFonts w:asciiTheme="majorHAnsi" w:hAnsiTheme="majorHAnsi" w:cs="Times New Roman"/>
          <w:sz w:val="24"/>
          <w:szCs w:val="24"/>
        </w:rPr>
        <w:t xml:space="preserve"> Barbara </w:t>
      </w:r>
      <w:proofErr w:type="spellStart"/>
      <w:r w:rsidRPr="00A00A90">
        <w:rPr>
          <w:rFonts w:asciiTheme="majorHAnsi" w:hAnsiTheme="majorHAnsi" w:cs="Times New Roman"/>
          <w:sz w:val="24"/>
          <w:szCs w:val="24"/>
        </w:rPr>
        <w:t>Bagilhole</w:t>
      </w:r>
      <w:proofErr w:type="spellEnd"/>
      <w:r w:rsidRPr="00A00A90">
        <w:rPr>
          <w:rFonts w:asciiTheme="majorHAnsi" w:hAnsiTheme="majorHAnsi" w:cs="Times New Roman"/>
          <w:sz w:val="24"/>
          <w:szCs w:val="24"/>
        </w:rPr>
        <w:t xml:space="preserve"> and Kate White (</w:t>
      </w:r>
      <w:proofErr w:type="spellStart"/>
      <w:r w:rsidRPr="00A00A90">
        <w:rPr>
          <w:rFonts w:asciiTheme="majorHAnsi" w:hAnsiTheme="majorHAnsi" w:cs="Times New Roman"/>
          <w:sz w:val="24"/>
          <w:szCs w:val="24"/>
        </w:rPr>
        <w:t>Eds</w:t>
      </w:r>
      <w:proofErr w:type="spellEnd"/>
      <w:r w:rsidRPr="00A00A90">
        <w:rPr>
          <w:rFonts w:asciiTheme="majorHAnsi" w:hAnsiTheme="majorHAnsi" w:cs="Times New Roman"/>
          <w:sz w:val="24"/>
          <w:szCs w:val="24"/>
        </w:rPr>
        <w:t>)</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iCs/>
          <w:sz w:val="24"/>
          <w:szCs w:val="24"/>
        </w:rPr>
        <w:t>Battle scars: Reflections of women in academia</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Hampshire</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Palgrave MacMillan, pp</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127-168.</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lastRenderedPageBreak/>
        <w:t>Carvalho</w:t>
      </w:r>
      <w:proofErr w:type="spellEnd"/>
      <w:r w:rsidRPr="00A00A90">
        <w:rPr>
          <w:rFonts w:asciiTheme="majorHAnsi" w:hAnsiTheme="majorHAnsi" w:cs="Times New Roman"/>
          <w:sz w:val="24"/>
          <w:szCs w:val="24"/>
        </w:rPr>
        <w:t xml:space="preserve">, Teresa (2014), “Changing connections between professionalism and </w:t>
      </w:r>
      <w:proofErr w:type="spellStart"/>
      <w:r w:rsidRPr="00A00A90">
        <w:rPr>
          <w:rFonts w:asciiTheme="majorHAnsi" w:hAnsiTheme="majorHAnsi" w:cs="Times New Roman"/>
          <w:sz w:val="24"/>
          <w:szCs w:val="24"/>
        </w:rPr>
        <w:t>managerialism</w:t>
      </w:r>
      <w:proofErr w:type="spellEnd"/>
      <w:r w:rsidRPr="00A00A90">
        <w:rPr>
          <w:rFonts w:asciiTheme="majorHAnsi" w:hAnsiTheme="majorHAnsi" w:cs="Times New Roman"/>
          <w:sz w:val="24"/>
          <w:szCs w:val="24"/>
        </w:rPr>
        <w:t>: A case study of nursing in Portugal”</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Journal of Professions and Organization,</w:t>
      </w:r>
      <w:r w:rsidRPr="00A00A90">
        <w:rPr>
          <w:rFonts w:asciiTheme="majorHAnsi" w:hAnsiTheme="majorHAnsi" w:cs="Times New Roman"/>
          <w:sz w:val="24"/>
          <w:szCs w:val="24"/>
        </w:rPr>
        <w:t xml:space="preserve"> 1, 2</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1-15.</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highlight w:val="yellow"/>
        </w:rPr>
      </w:pPr>
      <w:proofErr w:type="spellStart"/>
      <w:r w:rsidRPr="00A00A90">
        <w:rPr>
          <w:rFonts w:asciiTheme="majorHAnsi" w:hAnsiTheme="majorHAnsi" w:cs="Times New Roman"/>
          <w:sz w:val="24"/>
          <w:szCs w:val="24"/>
        </w:rPr>
        <w:t>Evetts</w:t>
      </w:r>
      <w:proofErr w:type="spellEnd"/>
      <w:r w:rsidRPr="00A00A90">
        <w:rPr>
          <w:rFonts w:asciiTheme="majorHAnsi" w:hAnsiTheme="majorHAnsi" w:cs="Times New Roman"/>
          <w:sz w:val="24"/>
          <w:szCs w:val="24"/>
        </w:rPr>
        <w:t xml:space="preserve">, Julie (2003), “The sociological analysis of professionalism occupational change in the modern world”, </w:t>
      </w:r>
      <w:r w:rsidRPr="00A00A90">
        <w:rPr>
          <w:rFonts w:asciiTheme="majorHAnsi" w:hAnsiTheme="majorHAnsi" w:cs="Times New Roman"/>
          <w:i/>
          <w:sz w:val="24"/>
          <w:szCs w:val="24"/>
        </w:rPr>
        <w:t>International Sociology</w:t>
      </w:r>
      <w:r w:rsidRPr="00A00A90">
        <w:rPr>
          <w:rFonts w:asciiTheme="majorHAnsi" w:hAnsiTheme="majorHAnsi" w:cs="Times New Roman"/>
          <w:sz w:val="24"/>
          <w:szCs w:val="24"/>
        </w:rPr>
        <w:t>, 18, 2</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395-415.</w:t>
      </w:r>
      <w:r w:rsidRPr="00A00A90">
        <w:rPr>
          <w:rFonts w:asciiTheme="majorHAnsi" w:hAnsiTheme="majorHAnsi" w:cs="Times New Roman"/>
          <w:sz w:val="24"/>
          <w:szCs w:val="24"/>
          <w:highlight w:val="yellow"/>
        </w:rPr>
        <w:t xml:space="preserve"> </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Evetts</w:t>
      </w:r>
      <w:proofErr w:type="spellEnd"/>
      <w:r w:rsidRPr="00A00A90">
        <w:rPr>
          <w:rFonts w:asciiTheme="majorHAnsi" w:hAnsiTheme="majorHAnsi" w:cs="Times New Roman"/>
          <w:sz w:val="24"/>
          <w:szCs w:val="24"/>
        </w:rPr>
        <w:t>, Julie (2000), “Analysing change in women’s careers”</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Gender, Work and Organization,</w:t>
      </w:r>
      <w:r w:rsidRPr="00A00A90">
        <w:rPr>
          <w:rFonts w:asciiTheme="majorHAnsi" w:hAnsiTheme="majorHAnsi" w:cs="Times New Roman"/>
          <w:sz w:val="24"/>
          <w:szCs w:val="24"/>
        </w:rPr>
        <w:t xml:space="preserve"> 7</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57-67</w:t>
      </w:r>
    </w:p>
    <w:p w:rsidR="00D41894" w:rsidRPr="00A00A90" w:rsidRDefault="00D41894" w:rsidP="00D41894">
      <w:pPr>
        <w:pStyle w:val="Textodenotadefim"/>
        <w:spacing w:line="276" w:lineRule="auto"/>
        <w:ind w:left="567" w:hanging="567"/>
        <w:jc w:val="both"/>
        <w:rPr>
          <w:rStyle w:val="CharacterStyle2"/>
          <w:rFonts w:asciiTheme="majorHAnsi" w:hAnsiTheme="majorHAnsi" w:cs="Times New Roman"/>
          <w:sz w:val="24"/>
          <w:szCs w:val="24"/>
        </w:rPr>
      </w:pPr>
      <w:proofErr w:type="spellStart"/>
      <w:r w:rsidRPr="00A00A90">
        <w:rPr>
          <w:rStyle w:val="CharacterStyle2"/>
          <w:rFonts w:asciiTheme="majorHAnsi" w:hAnsiTheme="majorHAnsi" w:cs="Times New Roman"/>
          <w:sz w:val="24"/>
          <w:szCs w:val="24"/>
        </w:rPr>
        <w:t>Freidson</w:t>
      </w:r>
      <w:proofErr w:type="spellEnd"/>
      <w:r w:rsidRPr="00A00A90">
        <w:rPr>
          <w:rStyle w:val="CharacterStyle2"/>
          <w:rFonts w:asciiTheme="majorHAnsi" w:hAnsiTheme="majorHAnsi" w:cs="Times New Roman"/>
          <w:sz w:val="24"/>
          <w:szCs w:val="24"/>
        </w:rPr>
        <w:t xml:space="preserve">, Eliot (2001), </w:t>
      </w:r>
      <w:r w:rsidRPr="00A00A90">
        <w:rPr>
          <w:rStyle w:val="CharacterStyle2"/>
          <w:rFonts w:asciiTheme="majorHAnsi" w:hAnsiTheme="majorHAnsi" w:cs="Times New Roman"/>
          <w:i/>
          <w:iCs/>
          <w:sz w:val="24"/>
          <w:szCs w:val="24"/>
        </w:rPr>
        <w:t>Professionalism</w:t>
      </w:r>
      <w:r w:rsidR="00A36565">
        <w:rPr>
          <w:rStyle w:val="CharacterStyle2"/>
          <w:rFonts w:asciiTheme="majorHAnsi" w:hAnsiTheme="majorHAnsi" w:cs="Times New Roman"/>
          <w:i/>
          <w:iCs/>
          <w:sz w:val="24"/>
          <w:szCs w:val="24"/>
        </w:rPr>
        <w:t xml:space="preserve"> -</w:t>
      </w:r>
      <w:r w:rsidRPr="00A00A90">
        <w:rPr>
          <w:rStyle w:val="CharacterStyle2"/>
          <w:rFonts w:asciiTheme="majorHAnsi" w:hAnsiTheme="majorHAnsi" w:cs="Times New Roman"/>
          <w:i/>
          <w:iCs/>
          <w:sz w:val="24"/>
          <w:szCs w:val="24"/>
        </w:rPr>
        <w:t xml:space="preserve"> The Third Logic</w:t>
      </w:r>
      <w:r w:rsidR="00A36565">
        <w:rPr>
          <w:rStyle w:val="CharacterStyle2"/>
          <w:rFonts w:asciiTheme="majorHAnsi" w:hAnsiTheme="majorHAnsi" w:cs="Times New Roman"/>
          <w:i/>
          <w:iCs/>
          <w:sz w:val="24"/>
          <w:szCs w:val="24"/>
        </w:rPr>
        <w:t>,</w:t>
      </w:r>
      <w:r w:rsidRPr="00A00A90">
        <w:rPr>
          <w:rStyle w:val="CharacterStyle2"/>
          <w:rFonts w:asciiTheme="majorHAnsi" w:hAnsiTheme="majorHAnsi" w:cs="Times New Roman"/>
          <w:i/>
          <w:iCs/>
          <w:sz w:val="24"/>
          <w:szCs w:val="24"/>
        </w:rPr>
        <w:t xml:space="preserve"> </w:t>
      </w:r>
      <w:r w:rsidRPr="00A00A90">
        <w:rPr>
          <w:rStyle w:val="CharacterStyle2"/>
          <w:rFonts w:asciiTheme="majorHAnsi" w:hAnsiTheme="majorHAnsi" w:cs="Times New Roman"/>
          <w:sz w:val="24"/>
          <w:szCs w:val="24"/>
        </w:rPr>
        <w:t>Cambridge</w:t>
      </w:r>
      <w:r w:rsidR="00A36565">
        <w:rPr>
          <w:rStyle w:val="CharacterStyle2"/>
          <w:rFonts w:asciiTheme="majorHAnsi" w:hAnsiTheme="majorHAnsi" w:cs="Times New Roman"/>
          <w:sz w:val="24"/>
          <w:szCs w:val="24"/>
        </w:rPr>
        <w:t>,</w:t>
      </w:r>
      <w:r w:rsidRPr="00A00A90">
        <w:rPr>
          <w:rStyle w:val="CharacterStyle2"/>
          <w:rFonts w:asciiTheme="majorHAnsi" w:hAnsiTheme="majorHAnsi" w:cs="Times New Roman"/>
          <w:sz w:val="24"/>
          <w:szCs w:val="24"/>
        </w:rPr>
        <w:t xml:space="preserve"> Polity Press. </w:t>
      </w:r>
    </w:p>
    <w:p w:rsidR="00D41894" w:rsidRPr="00A00A90" w:rsidRDefault="00A36565" w:rsidP="00D41894">
      <w:pPr>
        <w:pStyle w:val="Textodenotadefim"/>
        <w:spacing w:line="276" w:lineRule="auto"/>
        <w:ind w:left="567" w:hanging="567"/>
        <w:jc w:val="both"/>
        <w:rPr>
          <w:rFonts w:asciiTheme="majorHAnsi" w:hAnsiTheme="majorHAnsi" w:cs="Times New Roman"/>
          <w:sz w:val="24"/>
          <w:szCs w:val="24"/>
        </w:rPr>
      </w:pPr>
      <w:r>
        <w:rPr>
          <w:rFonts w:asciiTheme="majorHAnsi" w:hAnsiTheme="majorHAnsi" w:cs="Times New Roman"/>
          <w:sz w:val="24"/>
          <w:szCs w:val="24"/>
        </w:rPr>
        <w:t>Guest, David;</w:t>
      </w:r>
      <w:r w:rsidR="00D41894" w:rsidRPr="00A00A90">
        <w:rPr>
          <w:rFonts w:asciiTheme="majorHAnsi" w:hAnsiTheme="majorHAnsi" w:cs="Times New Roman"/>
          <w:sz w:val="24"/>
          <w:szCs w:val="24"/>
        </w:rPr>
        <w:t xml:space="preserve"> </w:t>
      </w:r>
      <w:proofErr w:type="spellStart"/>
      <w:r w:rsidR="00D41894" w:rsidRPr="00A00A90">
        <w:rPr>
          <w:rFonts w:asciiTheme="majorHAnsi" w:hAnsiTheme="majorHAnsi" w:cs="Times New Roman"/>
          <w:sz w:val="24"/>
          <w:szCs w:val="24"/>
        </w:rPr>
        <w:t>Sturges</w:t>
      </w:r>
      <w:proofErr w:type="spellEnd"/>
      <w:r w:rsidR="00D41894" w:rsidRPr="00A00A90">
        <w:rPr>
          <w:rFonts w:asciiTheme="majorHAnsi" w:hAnsiTheme="majorHAnsi" w:cs="Times New Roman"/>
          <w:sz w:val="24"/>
          <w:szCs w:val="24"/>
        </w:rPr>
        <w:t>, Jane (2007), “Living to work – working to live: conceptualizations of careers among contemporary workers”</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w:t>
      </w:r>
      <w:r w:rsidRPr="00A36565">
        <w:rPr>
          <w:rFonts w:asciiTheme="majorHAnsi" w:hAnsiTheme="majorHAnsi" w:cs="Times New Roman"/>
          <w:i/>
          <w:sz w:val="24"/>
          <w:szCs w:val="24"/>
        </w:rPr>
        <w:t>in</w:t>
      </w:r>
      <w:r w:rsidR="00D41894" w:rsidRPr="00A00A90">
        <w:rPr>
          <w:rFonts w:asciiTheme="majorHAnsi" w:hAnsiTheme="majorHAnsi" w:cs="Times New Roman"/>
          <w:sz w:val="24"/>
          <w:szCs w:val="24"/>
        </w:rPr>
        <w:t xml:space="preserve"> </w:t>
      </w:r>
      <w:proofErr w:type="spellStart"/>
      <w:r w:rsidR="00D41894" w:rsidRPr="00A00A90">
        <w:rPr>
          <w:rFonts w:asciiTheme="majorHAnsi" w:hAnsiTheme="majorHAnsi" w:cs="Times New Roman"/>
          <w:sz w:val="24"/>
          <w:szCs w:val="24"/>
        </w:rPr>
        <w:t>Gunz</w:t>
      </w:r>
      <w:proofErr w:type="spellEnd"/>
      <w:r w:rsidR="00D41894" w:rsidRPr="00A00A90">
        <w:rPr>
          <w:rFonts w:asciiTheme="majorHAnsi" w:hAnsiTheme="majorHAnsi" w:cs="Times New Roman"/>
          <w:sz w:val="24"/>
          <w:szCs w:val="24"/>
        </w:rPr>
        <w:t xml:space="preserve">, H and </w:t>
      </w:r>
      <w:proofErr w:type="spellStart"/>
      <w:r w:rsidR="00D41894" w:rsidRPr="00A00A90">
        <w:rPr>
          <w:rFonts w:asciiTheme="majorHAnsi" w:hAnsiTheme="majorHAnsi" w:cs="Times New Roman"/>
          <w:sz w:val="24"/>
          <w:szCs w:val="24"/>
        </w:rPr>
        <w:t>Peiperl</w:t>
      </w:r>
      <w:proofErr w:type="spellEnd"/>
      <w:r w:rsidR="00D41894" w:rsidRPr="00A00A90">
        <w:rPr>
          <w:rFonts w:asciiTheme="majorHAnsi" w:hAnsiTheme="majorHAnsi" w:cs="Times New Roman"/>
          <w:sz w:val="24"/>
          <w:szCs w:val="24"/>
        </w:rPr>
        <w:t xml:space="preserve">, M. (eds.), </w:t>
      </w:r>
      <w:r w:rsidR="00D41894" w:rsidRPr="00A00A90">
        <w:rPr>
          <w:rFonts w:asciiTheme="majorHAnsi" w:hAnsiTheme="majorHAnsi" w:cs="Times New Roman"/>
          <w:i/>
          <w:sz w:val="24"/>
          <w:szCs w:val="24"/>
        </w:rPr>
        <w:t>Handbook of Career Studies</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London</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Sage, 310-326.</w:t>
      </w:r>
    </w:p>
    <w:p w:rsidR="00D41894" w:rsidRPr="00A00A90" w:rsidRDefault="00A36565" w:rsidP="00D41894">
      <w:pPr>
        <w:pStyle w:val="Textodenotadefim"/>
        <w:spacing w:line="276" w:lineRule="auto"/>
        <w:ind w:left="567" w:hanging="567"/>
        <w:jc w:val="both"/>
        <w:rPr>
          <w:rFonts w:asciiTheme="majorHAnsi" w:hAnsiTheme="majorHAnsi" w:cs="Times New Roman"/>
          <w:sz w:val="24"/>
          <w:szCs w:val="24"/>
        </w:rPr>
      </w:pPr>
      <w:r>
        <w:rPr>
          <w:rFonts w:asciiTheme="majorHAnsi" w:hAnsiTheme="majorHAnsi" w:cs="Times New Roman"/>
          <w:sz w:val="24"/>
          <w:szCs w:val="24"/>
        </w:rPr>
        <w:t xml:space="preserve">Kirkpatrick, Ian; </w:t>
      </w:r>
      <w:proofErr w:type="spellStart"/>
      <w:r>
        <w:rPr>
          <w:rFonts w:asciiTheme="majorHAnsi" w:hAnsiTheme="majorHAnsi" w:cs="Times New Roman"/>
          <w:sz w:val="24"/>
          <w:szCs w:val="24"/>
        </w:rPr>
        <w:t>Ackroyd</w:t>
      </w:r>
      <w:proofErr w:type="spellEnd"/>
      <w:r>
        <w:rPr>
          <w:rFonts w:asciiTheme="majorHAnsi" w:hAnsiTheme="majorHAnsi" w:cs="Times New Roman"/>
          <w:sz w:val="24"/>
          <w:szCs w:val="24"/>
        </w:rPr>
        <w:t>, Stephen;</w:t>
      </w:r>
      <w:r w:rsidR="00D41894" w:rsidRPr="00A00A90">
        <w:rPr>
          <w:rFonts w:asciiTheme="majorHAnsi" w:hAnsiTheme="majorHAnsi" w:cs="Times New Roman"/>
          <w:sz w:val="24"/>
          <w:szCs w:val="24"/>
        </w:rPr>
        <w:t xml:space="preserve"> Walker, Richard (2005), </w:t>
      </w:r>
      <w:proofErr w:type="gramStart"/>
      <w:r w:rsidR="00D41894" w:rsidRPr="00A00A90">
        <w:rPr>
          <w:rFonts w:asciiTheme="majorHAnsi" w:hAnsiTheme="majorHAnsi" w:cs="Times New Roman"/>
          <w:i/>
          <w:sz w:val="24"/>
          <w:szCs w:val="24"/>
        </w:rPr>
        <w:t>The</w:t>
      </w:r>
      <w:proofErr w:type="gramEnd"/>
      <w:r w:rsidR="00D41894" w:rsidRPr="00A00A90">
        <w:rPr>
          <w:rFonts w:asciiTheme="majorHAnsi" w:hAnsiTheme="majorHAnsi" w:cs="Times New Roman"/>
          <w:i/>
          <w:sz w:val="24"/>
          <w:szCs w:val="24"/>
        </w:rPr>
        <w:t xml:space="preserve"> New </w:t>
      </w:r>
      <w:proofErr w:type="spellStart"/>
      <w:r w:rsidR="00D41894" w:rsidRPr="00A00A90">
        <w:rPr>
          <w:rFonts w:asciiTheme="majorHAnsi" w:hAnsiTheme="majorHAnsi" w:cs="Times New Roman"/>
          <w:i/>
          <w:sz w:val="24"/>
          <w:szCs w:val="24"/>
        </w:rPr>
        <w:t>Managerialism</w:t>
      </w:r>
      <w:proofErr w:type="spellEnd"/>
      <w:r w:rsidR="00D41894" w:rsidRPr="00A00A90">
        <w:rPr>
          <w:rFonts w:asciiTheme="majorHAnsi" w:hAnsiTheme="majorHAnsi" w:cs="Times New Roman"/>
          <w:i/>
          <w:sz w:val="24"/>
          <w:szCs w:val="24"/>
        </w:rPr>
        <w:t xml:space="preserve"> and Public Service Professions</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New York</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Palgrave Macmillan.</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K</w:t>
      </w:r>
      <w:r w:rsidR="00A36565">
        <w:rPr>
          <w:rFonts w:asciiTheme="majorHAnsi" w:hAnsiTheme="majorHAnsi" w:cs="Times New Roman"/>
          <w:sz w:val="24"/>
          <w:szCs w:val="24"/>
        </w:rPr>
        <w:t>uhlmann</w:t>
      </w:r>
      <w:proofErr w:type="spellEnd"/>
      <w:r w:rsidR="00A36565">
        <w:rPr>
          <w:rFonts w:asciiTheme="majorHAnsi" w:hAnsiTheme="majorHAnsi" w:cs="Times New Roman"/>
          <w:sz w:val="24"/>
          <w:szCs w:val="24"/>
        </w:rPr>
        <w:t xml:space="preserve">, Ellen; </w:t>
      </w:r>
      <w:r w:rsidRPr="00A00A90">
        <w:rPr>
          <w:rFonts w:asciiTheme="majorHAnsi" w:hAnsiTheme="majorHAnsi" w:cs="Times New Roman"/>
          <w:sz w:val="24"/>
          <w:szCs w:val="24"/>
        </w:rPr>
        <w:t xml:space="preserve">Saks, Mike (eds.) (2008), </w:t>
      </w:r>
      <w:r w:rsidRPr="00A00A90">
        <w:rPr>
          <w:rFonts w:asciiTheme="majorHAnsi" w:hAnsiTheme="majorHAnsi" w:cs="Times New Roman"/>
          <w:i/>
          <w:sz w:val="24"/>
          <w:szCs w:val="24"/>
        </w:rPr>
        <w:t>Rethinking Professional Governance: International Directions in Health Care</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London</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proofErr w:type="gramStart"/>
      <w:r w:rsidRPr="00A00A90">
        <w:rPr>
          <w:rFonts w:asciiTheme="majorHAnsi" w:hAnsiTheme="majorHAnsi" w:cs="Times New Roman"/>
          <w:sz w:val="24"/>
          <w:szCs w:val="24"/>
        </w:rPr>
        <w:t>The</w:t>
      </w:r>
      <w:proofErr w:type="gramEnd"/>
      <w:r w:rsidRPr="00A00A90">
        <w:rPr>
          <w:rFonts w:asciiTheme="majorHAnsi" w:hAnsiTheme="majorHAnsi" w:cs="Times New Roman"/>
          <w:sz w:val="24"/>
          <w:szCs w:val="24"/>
        </w:rPr>
        <w:t xml:space="preserve"> Policy Press.</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Mayrhofer</w:t>
      </w:r>
      <w:proofErr w:type="spellEnd"/>
      <w:r w:rsidRPr="00A00A90">
        <w:rPr>
          <w:rFonts w:asciiTheme="majorHAnsi" w:hAnsiTheme="majorHAnsi" w:cs="Times New Roman"/>
          <w:sz w:val="24"/>
          <w:szCs w:val="24"/>
        </w:rPr>
        <w:t>, Wolfgang</w:t>
      </w:r>
      <w:r w:rsidR="00A36565">
        <w:rPr>
          <w:rFonts w:asciiTheme="majorHAnsi" w:hAnsiTheme="majorHAnsi" w:cs="Times New Roman"/>
          <w:sz w:val="24"/>
          <w:szCs w:val="24"/>
        </w:rPr>
        <w:t>; Meyer, Michael;</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Steyrer</w:t>
      </w:r>
      <w:proofErr w:type="spellEnd"/>
      <w:r w:rsidRPr="00A00A90">
        <w:rPr>
          <w:rFonts w:asciiTheme="majorHAnsi" w:hAnsiTheme="majorHAnsi" w:cs="Times New Roman"/>
          <w:sz w:val="24"/>
          <w:szCs w:val="24"/>
        </w:rPr>
        <w:t>, Johannes (2007), “Contextual issues in the study of careers”</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00A36565" w:rsidRPr="00A36565">
        <w:rPr>
          <w:rFonts w:asciiTheme="majorHAnsi" w:hAnsiTheme="majorHAnsi" w:cs="Times New Roman"/>
          <w:i/>
          <w:sz w:val="24"/>
          <w:szCs w:val="24"/>
        </w:rPr>
        <w:t>i</w:t>
      </w:r>
      <w:r w:rsidRPr="00A36565">
        <w:rPr>
          <w:rFonts w:asciiTheme="majorHAnsi" w:hAnsiTheme="majorHAnsi" w:cs="Times New Roman"/>
          <w:i/>
          <w:sz w:val="24"/>
          <w:szCs w:val="24"/>
        </w:rPr>
        <w:t>n</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Gunz</w:t>
      </w:r>
      <w:proofErr w:type="spellEnd"/>
      <w:r w:rsidRPr="00A00A90">
        <w:rPr>
          <w:rFonts w:asciiTheme="majorHAnsi" w:hAnsiTheme="majorHAnsi" w:cs="Times New Roman"/>
          <w:sz w:val="24"/>
          <w:szCs w:val="24"/>
        </w:rPr>
        <w:t xml:space="preserve">, H. and </w:t>
      </w:r>
      <w:proofErr w:type="spellStart"/>
      <w:r w:rsidRPr="00A00A90">
        <w:rPr>
          <w:rFonts w:asciiTheme="majorHAnsi" w:hAnsiTheme="majorHAnsi" w:cs="Times New Roman"/>
          <w:sz w:val="24"/>
          <w:szCs w:val="24"/>
        </w:rPr>
        <w:t>Peiperl</w:t>
      </w:r>
      <w:proofErr w:type="spellEnd"/>
      <w:r w:rsidRPr="00A00A90">
        <w:rPr>
          <w:rFonts w:asciiTheme="majorHAnsi" w:hAnsiTheme="majorHAnsi" w:cs="Times New Roman"/>
          <w:sz w:val="24"/>
          <w:szCs w:val="24"/>
        </w:rPr>
        <w:t xml:space="preserve">, M. (eds.), </w:t>
      </w:r>
      <w:r w:rsidRPr="00A00A90">
        <w:rPr>
          <w:rFonts w:asciiTheme="majorHAnsi" w:hAnsiTheme="majorHAnsi" w:cs="Times New Roman"/>
          <w:i/>
          <w:sz w:val="24"/>
          <w:szCs w:val="24"/>
        </w:rPr>
        <w:t>Handbook of Career Studies</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London</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Sage, 215-240.</w:t>
      </w:r>
    </w:p>
    <w:p w:rsidR="00D41894" w:rsidRPr="00A00A90" w:rsidRDefault="00A36565" w:rsidP="00D41894">
      <w:pPr>
        <w:pStyle w:val="Textodenotadefim"/>
        <w:spacing w:line="276" w:lineRule="auto"/>
        <w:ind w:left="567" w:hanging="567"/>
        <w:jc w:val="both"/>
        <w:rPr>
          <w:rFonts w:asciiTheme="majorHAnsi" w:hAnsiTheme="majorHAnsi" w:cs="Times New Roman"/>
          <w:sz w:val="24"/>
          <w:szCs w:val="24"/>
        </w:rPr>
      </w:pPr>
      <w:r>
        <w:rPr>
          <w:rFonts w:asciiTheme="majorHAnsi" w:hAnsiTheme="majorHAnsi" w:cs="Times New Roman"/>
          <w:sz w:val="24"/>
          <w:szCs w:val="24"/>
        </w:rPr>
        <w:t>Moreau, Marie-Pierre;</w:t>
      </w:r>
      <w:r w:rsidR="00D41894" w:rsidRPr="00A00A90">
        <w:rPr>
          <w:rFonts w:asciiTheme="majorHAnsi" w:hAnsiTheme="majorHAnsi" w:cs="Times New Roman"/>
          <w:sz w:val="24"/>
          <w:szCs w:val="24"/>
        </w:rPr>
        <w:t xml:space="preserve"> </w:t>
      </w:r>
      <w:proofErr w:type="spellStart"/>
      <w:r w:rsidR="00D41894" w:rsidRPr="00A00A90">
        <w:rPr>
          <w:rFonts w:asciiTheme="majorHAnsi" w:hAnsiTheme="majorHAnsi" w:cs="Times New Roman"/>
          <w:sz w:val="24"/>
          <w:szCs w:val="24"/>
        </w:rPr>
        <w:t>Leathwood</w:t>
      </w:r>
      <w:proofErr w:type="spellEnd"/>
      <w:r w:rsidR="00D41894" w:rsidRPr="00A00A90">
        <w:rPr>
          <w:rFonts w:asciiTheme="majorHAnsi" w:hAnsiTheme="majorHAnsi" w:cs="Times New Roman"/>
          <w:sz w:val="24"/>
          <w:szCs w:val="24"/>
        </w:rPr>
        <w:t>, Carole (2006), “Graduates’ employment and the discourse of employability: a critical analysis”</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w:t>
      </w:r>
      <w:r w:rsidR="00D41894" w:rsidRPr="00A00A90">
        <w:rPr>
          <w:rFonts w:asciiTheme="majorHAnsi" w:hAnsiTheme="majorHAnsi" w:cs="Times New Roman"/>
          <w:i/>
          <w:sz w:val="24"/>
          <w:szCs w:val="24"/>
        </w:rPr>
        <w:t xml:space="preserve">Journal of Education and Work, </w:t>
      </w:r>
      <w:r w:rsidR="00D41894" w:rsidRPr="00A00A90">
        <w:rPr>
          <w:rFonts w:asciiTheme="majorHAnsi" w:hAnsiTheme="majorHAnsi" w:cs="Times New Roman"/>
          <w:sz w:val="24"/>
          <w:szCs w:val="24"/>
        </w:rPr>
        <w:t>19</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305-324.</w:t>
      </w:r>
    </w:p>
    <w:p w:rsidR="00D41894" w:rsidRPr="00A00A90" w:rsidRDefault="00A36565" w:rsidP="00D41894">
      <w:pPr>
        <w:pStyle w:val="Textodenotadefim"/>
        <w:spacing w:line="276" w:lineRule="auto"/>
        <w:ind w:left="567" w:hanging="567"/>
        <w:jc w:val="both"/>
        <w:rPr>
          <w:rFonts w:asciiTheme="majorHAnsi" w:hAnsiTheme="majorHAnsi" w:cs="Times New Roman"/>
          <w:sz w:val="24"/>
          <w:szCs w:val="24"/>
        </w:rPr>
      </w:pPr>
      <w:proofErr w:type="spellStart"/>
      <w:r>
        <w:rPr>
          <w:rFonts w:asciiTheme="majorHAnsi" w:hAnsiTheme="majorHAnsi" w:cs="Times New Roman"/>
          <w:sz w:val="24"/>
          <w:szCs w:val="24"/>
        </w:rPr>
        <w:t>Muzio</w:t>
      </w:r>
      <w:proofErr w:type="spellEnd"/>
      <w:r>
        <w:rPr>
          <w:rFonts w:asciiTheme="majorHAnsi" w:hAnsiTheme="majorHAnsi" w:cs="Times New Roman"/>
          <w:sz w:val="24"/>
          <w:szCs w:val="24"/>
        </w:rPr>
        <w:t>, Daniel;</w:t>
      </w:r>
      <w:r w:rsidR="00D41894" w:rsidRPr="00A00A90">
        <w:rPr>
          <w:rFonts w:asciiTheme="majorHAnsi" w:hAnsiTheme="majorHAnsi" w:cs="Times New Roman"/>
          <w:sz w:val="24"/>
          <w:szCs w:val="24"/>
        </w:rPr>
        <w:t xml:space="preserve"> Tomlinson, Jennifer (2012), “Editorial: researching gender, inclusion and diversity in contemporary professions and professional organizations”</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w:t>
      </w:r>
      <w:r w:rsidR="00D41894" w:rsidRPr="00A00A90">
        <w:rPr>
          <w:rFonts w:asciiTheme="majorHAnsi" w:hAnsiTheme="majorHAnsi" w:cs="Times New Roman"/>
          <w:i/>
          <w:sz w:val="24"/>
          <w:szCs w:val="24"/>
        </w:rPr>
        <w:t>Gender, Work and Organization</w:t>
      </w:r>
      <w:r w:rsidR="00D41894" w:rsidRPr="00A00A90">
        <w:rPr>
          <w:rFonts w:asciiTheme="majorHAnsi" w:hAnsiTheme="majorHAnsi" w:cs="Times New Roman"/>
          <w:sz w:val="24"/>
          <w:szCs w:val="24"/>
        </w:rPr>
        <w:t>, 19</w:t>
      </w:r>
      <w:r>
        <w:rPr>
          <w:rFonts w:asciiTheme="majorHAnsi" w:hAnsiTheme="majorHAnsi" w:cs="Times New Roman"/>
          <w:sz w:val="24"/>
          <w:szCs w:val="24"/>
        </w:rPr>
        <w:t>,</w:t>
      </w:r>
      <w:r w:rsidR="00D41894" w:rsidRPr="00A00A90">
        <w:rPr>
          <w:rFonts w:asciiTheme="majorHAnsi" w:hAnsiTheme="majorHAnsi" w:cs="Times New Roman"/>
          <w:sz w:val="24"/>
          <w:szCs w:val="24"/>
        </w:rPr>
        <w:t xml:space="preserve"> 455-466.</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r w:rsidRPr="00A00A90">
        <w:rPr>
          <w:rFonts w:asciiTheme="majorHAnsi" w:hAnsiTheme="majorHAnsi" w:cs="Times New Roman"/>
          <w:color w:val="000000"/>
          <w:sz w:val="24"/>
          <w:szCs w:val="24"/>
        </w:rPr>
        <w:t>Roberts, Emma (2008), “Time and work-life balance: The roles of temporal customization and life temporality”</w:t>
      </w:r>
      <w:r w:rsidR="00A36565">
        <w:rPr>
          <w:rFonts w:asciiTheme="majorHAnsi" w:hAnsiTheme="majorHAnsi" w:cs="Times New Roman"/>
          <w:color w:val="000000"/>
          <w:sz w:val="24"/>
          <w:szCs w:val="24"/>
        </w:rPr>
        <w:t>,</w:t>
      </w:r>
      <w:r w:rsidRPr="00A00A90">
        <w:rPr>
          <w:rFonts w:asciiTheme="majorHAnsi" w:hAnsiTheme="majorHAnsi" w:cs="Times New Roman"/>
          <w:color w:val="000000"/>
          <w:sz w:val="24"/>
          <w:szCs w:val="24"/>
        </w:rPr>
        <w:t xml:space="preserve"> </w:t>
      </w:r>
      <w:r w:rsidRPr="00A00A90">
        <w:rPr>
          <w:rFonts w:asciiTheme="majorHAnsi" w:hAnsiTheme="majorHAnsi" w:cs="Times New Roman"/>
          <w:i/>
          <w:iCs/>
          <w:color w:val="000000"/>
          <w:sz w:val="24"/>
          <w:szCs w:val="24"/>
        </w:rPr>
        <w:t>Gender, Work, and Organization</w:t>
      </w:r>
      <w:r w:rsidRPr="00A00A90">
        <w:rPr>
          <w:rFonts w:asciiTheme="majorHAnsi" w:hAnsiTheme="majorHAnsi" w:cs="Times New Roman"/>
          <w:color w:val="000000"/>
          <w:sz w:val="24"/>
          <w:szCs w:val="24"/>
        </w:rPr>
        <w:t>, 15</w:t>
      </w:r>
      <w:r w:rsidR="00A36565">
        <w:rPr>
          <w:rFonts w:asciiTheme="majorHAnsi" w:hAnsiTheme="majorHAnsi" w:cs="Times New Roman"/>
          <w:color w:val="000000"/>
          <w:sz w:val="24"/>
          <w:szCs w:val="24"/>
        </w:rPr>
        <w:t>,</w:t>
      </w:r>
      <w:r w:rsidRPr="00A00A90">
        <w:rPr>
          <w:rFonts w:asciiTheme="majorHAnsi" w:hAnsiTheme="majorHAnsi" w:cs="Times New Roman"/>
          <w:color w:val="000000"/>
          <w:sz w:val="24"/>
          <w:szCs w:val="24"/>
        </w:rPr>
        <w:t xml:space="preserve"> 430- 453.</w:t>
      </w:r>
    </w:p>
    <w:p w:rsidR="00D41894" w:rsidRPr="00A00A90" w:rsidRDefault="00D41894" w:rsidP="00D41894">
      <w:pPr>
        <w:pStyle w:val="Textodenotadefim"/>
        <w:spacing w:line="276" w:lineRule="auto"/>
        <w:ind w:left="567" w:hanging="567"/>
        <w:jc w:val="both"/>
        <w:rPr>
          <w:rFonts w:asciiTheme="majorHAnsi" w:hAnsiTheme="majorHAnsi" w:cs="Times New Roman"/>
          <w:sz w:val="24"/>
          <w:szCs w:val="24"/>
        </w:rPr>
      </w:pPr>
      <w:r w:rsidRPr="00A00A90">
        <w:rPr>
          <w:rFonts w:asciiTheme="majorHAnsi" w:hAnsiTheme="majorHAnsi" w:cs="Times New Roman"/>
          <w:sz w:val="24"/>
          <w:szCs w:val="24"/>
        </w:rPr>
        <w:t xml:space="preserve">Santos, Gina </w:t>
      </w:r>
      <w:proofErr w:type="spellStart"/>
      <w:r w:rsidRPr="00A00A90">
        <w:rPr>
          <w:rFonts w:asciiTheme="majorHAnsi" w:hAnsiTheme="majorHAnsi" w:cs="Times New Roman"/>
          <w:sz w:val="24"/>
          <w:szCs w:val="24"/>
        </w:rPr>
        <w:t>Gaio</w:t>
      </w:r>
      <w:proofErr w:type="spellEnd"/>
      <w:r w:rsidRPr="00A00A90">
        <w:rPr>
          <w:rFonts w:asciiTheme="majorHAnsi" w:hAnsiTheme="majorHAnsi" w:cs="Times New Roman"/>
          <w:sz w:val="24"/>
          <w:szCs w:val="24"/>
        </w:rPr>
        <w:t xml:space="preserve"> (2015) “Narratives about work and family life among Portuguese academics”</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Gender, Work and Organization</w:t>
      </w:r>
      <w:r w:rsidRPr="00A00A90">
        <w:rPr>
          <w:rFonts w:asciiTheme="majorHAnsi" w:hAnsiTheme="majorHAnsi" w:cs="Times New Roman"/>
          <w:sz w:val="24"/>
          <w:szCs w:val="24"/>
        </w:rPr>
        <w:t>, 22</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1-15.</w:t>
      </w:r>
    </w:p>
    <w:p w:rsidR="00D41894" w:rsidRDefault="00D41894" w:rsidP="00D41894">
      <w:pPr>
        <w:pStyle w:val="Textodenotadefim"/>
        <w:spacing w:line="276" w:lineRule="auto"/>
        <w:ind w:left="567" w:hanging="567"/>
        <w:jc w:val="both"/>
        <w:rPr>
          <w:rFonts w:asciiTheme="majorHAnsi" w:hAnsiTheme="majorHAnsi" w:cs="Times New Roman"/>
          <w:sz w:val="24"/>
          <w:szCs w:val="24"/>
          <w:lang w:val="es-ES"/>
        </w:rPr>
      </w:pPr>
      <w:r w:rsidRPr="00A00A90">
        <w:rPr>
          <w:rFonts w:asciiTheme="majorHAnsi" w:hAnsiTheme="majorHAnsi" w:cs="Times New Roman"/>
          <w:sz w:val="24"/>
          <w:szCs w:val="24"/>
        </w:rPr>
        <w:t>Schein, Edgar (1971), “The individual, the organization and the career: A conceptual scheme”</w:t>
      </w:r>
      <w:r w:rsidR="00A36565">
        <w:rPr>
          <w:rFonts w:asciiTheme="majorHAnsi" w:hAnsiTheme="majorHAnsi" w:cs="Times New Roman"/>
          <w:sz w:val="24"/>
          <w:szCs w:val="24"/>
        </w:rPr>
        <w:t>,</w:t>
      </w:r>
      <w:r w:rsidRPr="00A00A90">
        <w:rPr>
          <w:rFonts w:asciiTheme="majorHAnsi" w:hAnsiTheme="majorHAnsi" w:cs="Times New Roman"/>
          <w:sz w:val="24"/>
          <w:szCs w:val="24"/>
        </w:rPr>
        <w:t xml:space="preserve"> </w:t>
      </w:r>
      <w:proofErr w:type="spellStart"/>
      <w:r w:rsidRPr="002B6EE6">
        <w:rPr>
          <w:rFonts w:asciiTheme="majorHAnsi" w:hAnsiTheme="majorHAnsi" w:cs="Times New Roman"/>
          <w:i/>
          <w:sz w:val="24"/>
          <w:szCs w:val="24"/>
          <w:lang w:val="es-ES"/>
        </w:rPr>
        <w:t>The</w:t>
      </w:r>
      <w:proofErr w:type="spellEnd"/>
      <w:r w:rsidRPr="002B6EE6">
        <w:rPr>
          <w:rFonts w:asciiTheme="majorHAnsi" w:hAnsiTheme="majorHAnsi" w:cs="Times New Roman"/>
          <w:i/>
          <w:sz w:val="24"/>
          <w:szCs w:val="24"/>
          <w:lang w:val="es-ES"/>
        </w:rPr>
        <w:t xml:space="preserve"> </w:t>
      </w:r>
      <w:proofErr w:type="spellStart"/>
      <w:r w:rsidRPr="002B6EE6">
        <w:rPr>
          <w:rFonts w:asciiTheme="majorHAnsi" w:hAnsiTheme="majorHAnsi" w:cs="Times New Roman"/>
          <w:i/>
          <w:sz w:val="24"/>
          <w:szCs w:val="24"/>
          <w:lang w:val="es-ES"/>
        </w:rPr>
        <w:t>Journal</w:t>
      </w:r>
      <w:proofErr w:type="spellEnd"/>
      <w:r w:rsidRPr="002B6EE6">
        <w:rPr>
          <w:rFonts w:asciiTheme="majorHAnsi" w:hAnsiTheme="majorHAnsi" w:cs="Times New Roman"/>
          <w:i/>
          <w:sz w:val="24"/>
          <w:szCs w:val="24"/>
          <w:lang w:val="es-ES"/>
        </w:rPr>
        <w:t xml:space="preserve"> of </w:t>
      </w:r>
      <w:proofErr w:type="spellStart"/>
      <w:r w:rsidRPr="002B6EE6">
        <w:rPr>
          <w:rFonts w:asciiTheme="majorHAnsi" w:hAnsiTheme="majorHAnsi" w:cs="Times New Roman"/>
          <w:i/>
          <w:sz w:val="24"/>
          <w:szCs w:val="24"/>
          <w:lang w:val="es-ES"/>
        </w:rPr>
        <w:t>Applied</w:t>
      </w:r>
      <w:proofErr w:type="spellEnd"/>
      <w:r w:rsidRPr="002B6EE6">
        <w:rPr>
          <w:rFonts w:asciiTheme="majorHAnsi" w:hAnsiTheme="majorHAnsi" w:cs="Times New Roman"/>
          <w:i/>
          <w:sz w:val="24"/>
          <w:szCs w:val="24"/>
          <w:lang w:val="es-ES"/>
        </w:rPr>
        <w:t xml:space="preserve"> </w:t>
      </w:r>
      <w:proofErr w:type="spellStart"/>
      <w:r w:rsidRPr="002B6EE6">
        <w:rPr>
          <w:rFonts w:asciiTheme="majorHAnsi" w:hAnsiTheme="majorHAnsi" w:cs="Times New Roman"/>
          <w:i/>
          <w:sz w:val="24"/>
          <w:szCs w:val="24"/>
          <w:lang w:val="es-ES"/>
        </w:rPr>
        <w:t>Behavioral</w:t>
      </w:r>
      <w:proofErr w:type="spellEnd"/>
      <w:r w:rsidRPr="002B6EE6">
        <w:rPr>
          <w:rFonts w:asciiTheme="majorHAnsi" w:hAnsiTheme="majorHAnsi" w:cs="Times New Roman"/>
          <w:i/>
          <w:sz w:val="24"/>
          <w:szCs w:val="24"/>
          <w:lang w:val="es-ES"/>
        </w:rPr>
        <w:t xml:space="preserve"> </w:t>
      </w:r>
      <w:proofErr w:type="spellStart"/>
      <w:r w:rsidRPr="002B6EE6">
        <w:rPr>
          <w:rFonts w:asciiTheme="majorHAnsi" w:hAnsiTheme="majorHAnsi" w:cs="Times New Roman"/>
          <w:i/>
          <w:sz w:val="24"/>
          <w:szCs w:val="24"/>
          <w:lang w:val="es-ES"/>
        </w:rPr>
        <w:t>Science</w:t>
      </w:r>
      <w:proofErr w:type="spellEnd"/>
      <w:r w:rsidRPr="002B6EE6">
        <w:rPr>
          <w:rFonts w:asciiTheme="majorHAnsi" w:hAnsiTheme="majorHAnsi" w:cs="Times New Roman"/>
          <w:sz w:val="24"/>
          <w:szCs w:val="24"/>
          <w:lang w:val="es-ES"/>
        </w:rPr>
        <w:t>, 7</w:t>
      </w:r>
      <w:r w:rsidR="00A36565">
        <w:rPr>
          <w:rFonts w:asciiTheme="majorHAnsi" w:hAnsiTheme="majorHAnsi" w:cs="Times New Roman"/>
          <w:sz w:val="24"/>
          <w:szCs w:val="24"/>
          <w:lang w:val="es-ES"/>
        </w:rPr>
        <w:t>,</w:t>
      </w:r>
      <w:r w:rsidRPr="002B6EE6">
        <w:rPr>
          <w:rFonts w:asciiTheme="majorHAnsi" w:hAnsiTheme="majorHAnsi" w:cs="Times New Roman"/>
          <w:sz w:val="24"/>
          <w:szCs w:val="24"/>
          <w:lang w:val="es-ES"/>
        </w:rPr>
        <w:t xml:space="preserve"> 401-26.</w:t>
      </w:r>
    </w:p>
    <w:p w:rsidR="00A36565" w:rsidRPr="002B6EE6" w:rsidRDefault="00A36565" w:rsidP="00D41894">
      <w:pPr>
        <w:pStyle w:val="Textodenotadefim"/>
        <w:spacing w:line="276" w:lineRule="auto"/>
        <w:ind w:left="567" w:hanging="567"/>
        <w:jc w:val="both"/>
        <w:rPr>
          <w:rFonts w:asciiTheme="majorHAnsi" w:hAnsiTheme="majorHAnsi" w:cs="Times New Roman"/>
          <w:sz w:val="24"/>
          <w:szCs w:val="24"/>
          <w:lang w:val="es-ES"/>
        </w:rPr>
      </w:pPr>
    </w:p>
    <w:p w:rsidR="00D41894" w:rsidRPr="002B6EE6" w:rsidRDefault="00D41894" w:rsidP="00A36565">
      <w:pPr>
        <w:pStyle w:val="Textodenotadefi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spacing w:line="276" w:lineRule="auto"/>
        <w:jc w:val="both"/>
        <w:rPr>
          <w:rFonts w:asciiTheme="majorHAnsi" w:hAnsiTheme="majorHAnsi" w:cs="Times New Roman"/>
          <w:sz w:val="24"/>
          <w:szCs w:val="24"/>
          <w:lang w:val="es-ES"/>
        </w:rPr>
      </w:pPr>
      <w:r w:rsidRPr="002B6EE6">
        <w:rPr>
          <w:rFonts w:asciiTheme="majorHAnsi" w:hAnsiTheme="majorHAnsi" w:cs="Times New Roman"/>
          <w:sz w:val="24"/>
          <w:szCs w:val="24"/>
          <w:lang w:val="es-ES"/>
        </w:rPr>
        <w:t>Además de los</w:t>
      </w:r>
      <w:r w:rsidR="00A36565">
        <w:rPr>
          <w:rFonts w:asciiTheme="majorHAnsi" w:hAnsiTheme="majorHAnsi" w:cs="Times New Roman"/>
          <w:sz w:val="24"/>
          <w:szCs w:val="24"/>
          <w:lang w:val="es-ES"/>
        </w:rPr>
        <w:t xml:space="preserve"> </w:t>
      </w:r>
      <w:r w:rsidRPr="002B6EE6">
        <w:rPr>
          <w:rFonts w:asciiTheme="majorHAnsi" w:hAnsiTheme="majorHAnsi" w:cs="Times New Roman"/>
          <w:sz w:val="24"/>
          <w:szCs w:val="24"/>
          <w:lang w:val="es-ES"/>
        </w:rPr>
        <w:t xml:space="preserve">envíos para los dossiers temáticos, </w:t>
      </w:r>
      <w:r w:rsidRPr="002B6EE6">
        <w:rPr>
          <w:rFonts w:asciiTheme="majorHAnsi" w:hAnsiTheme="majorHAnsi" w:cs="Times New Roman"/>
          <w:i/>
          <w:sz w:val="24"/>
          <w:szCs w:val="24"/>
          <w:lang w:val="es-ES"/>
        </w:rPr>
        <w:t xml:space="preserve">ex </w:t>
      </w:r>
      <w:proofErr w:type="spellStart"/>
      <w:r w:rsidRPr="002B6EE6">
        <w:rPr>
          <w:rFonts w:asciiTheme="majorHAnsi" w:hAnsiTheme="majorHAnsi" w:cs="Times New Roman"/>
          <w:i/>
          <w:sz w:val="24"/>
          <w:szCs w:val="24"/>
          <w:lang w:val="es-ES"/>
        </w:rPr>
        <w:t>æquo</w:t>
      </w:r>
      <w:proofErr w:type="spellEnd"/>
      <w:r w:rsidRPr="002B6EE6">
        <w:rPr>
          <w:rFonts w:asciiTheme="majorHAnsi" w:hAnsiTheme="majorHAnsi" w:cs="Times New Roman"/>
          <w:sz w:val="24"/>
          <w:szCs w:val="24"/>
          <w:lang w:val="es-ES"/>
        </w:rPr>
        <w:t xml:space="preserve"> acepta permanentemente contribuciones para las secciones de Estudios y Ensayos y Recensiones.</w:t>
      </w:r>
    </w:p>
    <w:p w:rsidR="00D41894" w:rsidRPr="002B6EE6" w:rsidRDefault="00D41894" w:rsidP="00D41894">
      <w:pPr>
        <w:jc w:val="both"/>
        <w:rPr>
          <w:lang w:val="es-ES"/>
        </w:rPr>
      </w:pPr>
    </w:p>
    <w:p w:rsidR="00D41894" w:rsidRPr="00D41894" w:rsidRDefault="00A36565" w:rsidP="00A36565">
      <w:pPr>
        <w:tabs>
          <w:tab w:val="left" w:pos="6534"/>
        </w:tabs>
        <w:rPr>
          <w:lang w:val="es-ES"/>
        </w:rPr>
      </w:pPr>
      <w:r>
        <w:rPr>
          <w:lang w:val="es-ES"/>
        </w:rPr>
        <w:tab/>
      </w:r>
    </w:p>
    <w:sectPr w:rsidR="00D41894" w:rsidRPr="00D418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0F" w:rsidRDefault="006A470F">
      <w:pPr>
        <w:spacing w:after="0" w:line="240" w:lineRule="auto"/>
      </w:pPr>
      <w:r>
        <w:separator/>
      </w:r>
    </w:p>
  </w:endnote>
  <w:endnote w:type="continuationSeparator" w:id="0">
    <w:p w:rsidR="006A470F" w:rsidRDefault="006A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13387"/>
      <w:docPartObj>
        <w:docPartGallery w:val="Page Numbers (Bottom of Page)"/>
        <w:docPartUnique/>
      </w:docPartObj>
    </w:sdtPr>
    <w:sdtEndPr>
      <w:rPr>
        <w:rFonts w:asciiTheme="majorHAnsi" w:hAnsiTheme="majorHAnsi"/>
        <w:sz w:val="20"/>
      </w:rPr>
    </w:sdtEndPr>
    <w:sdtContent>
      <w:p w:rsidR="004F2674" w:rsidRPr="00E1509A" w:rsidRDefault="00D41894">
        <w:pPr>
          <w:pStyle w:val="Rodap"/>
          <w:jc w:val="center"/>
          <w:rPr>
            <w:rFonts w:asciiTheme="majorHAnsi" w:hAnsiTheme="majorHAnsi"/>
            <w:sz w:val="20"/>
          </w:rPr>
        </w:pPr>
        <w:r w:rsidRPr="00E1509A">
          <w:rPr>
            <w:rFonts w:asciiTheme="majorHAnsi" w:hAnsiTheme="majorHAnsi"/>
            <w:sz w:val="20"/>
          </w:rPr>
          <w:fldChar w:fldCharType="begin"/>
        </w:r>
        <w:r w:rsidRPr="00E1509A">
          <w:rPr>
            <w:rFonts w:asciiTheme="majorHAnsi" w:hAnsiTheme="majorHAnsi"/>
            <w:sz w:val="20"/>
          </w:rPr>
          <w:instrText>PAGE   \* MERGEFORMAT</w:instrText>
        </w:r>
        <w:r w:rsidRPr="00E1509A">
          <w:rPr>
            <w:rFonts w:asciiTheme="majorHAnsi" w:hAnsiTheme="majorHAnsi"/>
            <w:sz w:val="20"/>
          </w:rPr>
          <w:fldChar w:fldCharType="separate"/>
        </w:r>
        <w:r w:rsidR="009E61F3" w:rsidRPr="009E61F3">
          <w:rPr>
            <w:rFonts w:asciiTheme="majorHAnsi" w:hAnsiTheme="majorHAnsi"/>
            <w:noProof/>
            <w:sz w:val="20"/>
            <w:lang w:val="pt-PT"/>
          </w:rPr>
          <w:t>5</w:t>
        </w:r>
        <w:r w:rsidRPr="00E1509A">
          <w:rPr>
            <w:rFonts w:asciiTheme="majorHAnsi" w:hAnsiTheme="majorHAnsi"/>
            <w:sz w:val="20"/>
          </w:rPr>
          <w:fldChar w:fldCharType="end"/>
        </w:r>
      </w:p>
    </w:sdtContent>
  </w:sdt>
  <w:p w:rsidR="004F2674" w:rsidRDefault="006A47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0F" w:rsidRDefault="006A470F">
      <w:pPr>
        <w:spacing w:after="0" w:line="240" w:lineRule="auto"/>
      </w:pPr>
      <w:r>
        <w:separator/>
      </w:r>
    </w:p>
  </w:footnote>
  <w:footnote w:type="continuationSeparator" w:id="0">
    <w:p w:rsidR="006A470F" w:rsidRDefault="006A4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94"/>
    <w:rsid w:val="00342E17"/>
    <w:rsid w:val="004C3AD3"/>
    <w:rsid w:val="0066417A"/>
    <w:rsid w:val="006A470F"/>
    <w:rsid w:val="009E61F3"/>
    <w:rsid w:val="00A36565"/>
    <w:rsid w:val="00B8339E"/>
    <w:rsid w:val="00BC2912"/>
    <w:rsid w:val="00D41894"/>
    <w:rsid w:val="00F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7D74D-902A-4856-8A2C-4E809C2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94"/>
    <w:pPr>
      <w:spacing w:after="200" w:line="276" w:lineRule="auto"/>
    </w:pPr>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41894"/>
    <w:rPr>
      <w:color w:val="0563C1" w:themeColor="hyperlink"/>
      <w:u w:val="single"/>
    </w:rPr>
  </w:style>
  <w:style w:type="paragraph" w:styleId="Corpodetexto2">
    <w:name w:val="Body Text 2"/>
    <w:basedOn w:val="Normal"/>
    <w:link w:val="Corpodetexto2Carter"/>
    <w:rsid w:val="00D41894"/>
    <w:pPr>
      <w:autoSpaceDE w:val="0"/>
      <w:autoSpaceDN w:val="0"/>
      <w:spacing w:after="0" w:line="240" w:lineRule="auto"/>
    </w:pPr>
    <w:rPr>
      <w:rFonts w:ascii="Times New Roman" w:eastAsia="Times New Roman" w:hAnsi="Times New Roman" w:cs="Times New Roman"/>
      <w:i/>
      <w:iCs/>
      <w:sz w:val="20"/>
      <w:szCs w:val="20"/>
      <w:lang w:val="pt-PT" w:eastAsia="pt-PT"/>
    </w:rPr>
  </w:style>
  <w:style w:type="character" w:customStyle="1" w:styleId="Corpodetexto2Carter">
    <w:name w:val="Corpo de texto 2 Caráter"/>
    <w:basedOn w:val="Tipodeletrapredefinidodopargrafo"/>
    <w:link w:val="Corpodetexto2"/>
    <w:rsid w:val="00D41894"/>
    <w:rPr>
      <w:rFonts w:ascii="Times New Roman" w:eastAsia="Times New Roman" w:hAnsi="Times New Roman" w:cs="Times New Roman"/>
      <w:i/>
      <w:iCs/>
      <w:sz w:val="20"/>
      <w:szCs w:val="20"/>
      <w:lang w:val="pt-PT" w:eastAsia="pt-PT"/>
    </w:rPr>
  </w:style>
  <w:style w:type="paragraph" w:styleId="Textodenotadefim">
    <w:name w:val="endnote text"/>
    <w:basedOn w:val="Normal"/>
    <w:link w:val="TextodenotadefimCarter"/>
    <w:uiPriority w:val="99"/>
    <w:unhideWhenUsed/>
    <w:rsid w:val="00D41894"/>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D41894"/>
    <w:rPr>
      <w:sz w:val="20"/>
      <w:szCs w:val="20"/>
      <w:lang w:val="en-GB"/>
    </w:rPr>
  </w:style>
  <w:style w:type="character" w:customStyle="1" w:styleId="CharacterStyle2">
    <w:name w:val="Character Style 2"/>
    <w:uiPriority w:val="99"/>
    <w:rsid w:val="00D41894"/>
    <w:rPr>
      <w:sz w:val="18"/>
      <w:szCs w:val="18"/>
    </w:rPr>
  </w:style>
  <w:style w:type="paragraph" w:styleId="Rodap">
    <w:name w:val="footer"/>
    <w:basedOn w:val="Normal"/>
    <w:link w:val="RodapCarter"/>
    <w:uiPriority w:val="99"/>
    <w:unhideWhenUsed/>
    <w:rsid w:val="00D41894"/>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D418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rvalho@ua.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cielo.org/en/2014/02/28/scielo-citation-index-in-the-web-of-scie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pem1991@gmail.com" TargetMode="External"/><Relationship Id="rId5" Type="http://schemas.openxmlformats.org/officeDocument/2006/relationships/endnotes" Target="endnotes.xml"/><Relationship Id="rId10" Type="http://schemas.openxmlformats.org/officeDocument/2006/relationships/hyperlink" Target="http://www.apem-estudos.org/en/page/apresentacao-da-revista"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1931</Words>
  <Characters>11009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6</cp:revision>
  <dcterms:created xsi:type="dcterms:W3CDTF">2015-06-02T08:19:00Z</dcterms:created>
  <dcterms:modified xsi:type="dcterms:W3CDTF">2015-06-19T01:21:00Z</dcterms:modified>
</cp:coreProperties>
</file>